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E6419E" w:rsidRDefault="004371A5" w:rsidP="008C274B">
      <w:pPr>
        <w:jc w:val="both"/>
        <w:rPr>
          <w:rFonts w:ascii="Times New Roman" w:hAnsi="Times New Roman" w:cs="Times New Roman"/>
          <w:b/>
          <w:color w:val="C00000"/>
        </w:rPr>
      </w:pPr>
      <w:bookmarkStart w:id="0" w:name="_GoBack"/>
      <w:bookmarkEnd w:id="0"/>
      <w:r w:rsidRPr="00E6419E">
        <w:rPr>
          <w:rFonts w:ascii="Times New Roman" w:hAnsi="Times New Roman" w:cs="Times New Roman"/>
          <w:b/>
          <w:color w:val="C00000"/>
        </w:rPr>
        <w:t>Anexa 3:</w:t>
      </w:r>
      <w:r w:rsidR="00046A51" w:rsidRPr="00E6419E">
        <w:rPr>
          <w:rFonts w:ascii="Times New Roman" w:hAnsi="Times New Roman" w:cs="Times New Roman"/>
          <w:b/>
          <w:color w:val="C00000"/>
        </w:rPr>
        <w:t xml:space="preserve"> </w:t>
      </w:r>
      <w:r w:rsidRPr="00E6419E">
        <w:rPr>
          <w:rFonts w:ascii="Times New Roman" w:hAnsi="Times New Roman" w:cs="Times New Roman"/>
          <w:b/>
          <w:color w:val="C00000"/>
        </w:rPr>
        <w:t>Definițiile indicatorilor de rezultat și realizare</w:t>
      </w:r>
    </w:p>
    <w:tbl>
      <w:tblPr>
        <w:tblStyle w:val="Tabelgril"/>
        <w:tblW w:w="0" w:type="auto"/>
        <w:tblLook w:val="04A0" w:firstRow="1" w:lastRow="0" w:firstColumn="1" w:lastColumn="0" w:noHBand="0" w:noVBand="1"/>
      </w:tblPr>
      <w:tblGrid>
        <w:gridCol w:w="797"/>
        <w:gridCol w:w="1108"/>
        <w:gridCol w:w="5178"/>
        <w:gridCol w:w="6911"/>
      </w:tblGrid>
      <w:tr w:rsidR="00046A51" w:rsidRPr="00E6419E" w:rsidTr="00FB7B4A">
        <w:tc>
          <w:tcPr>
            <w:tcW w:w="797" w:type="dxa"/>
            <w:tcBorders>
              <w:bottom w:val="single" w:sz="4" w:space="0" w:color="auto"/>
            </w:tcBorders>
            <w:shd w:val="clear" w:color="auto" w:fill="EEECE1" w:themeFill="background2"/>
          </w:tcPr>
          <w:p w:rsidR="00046A51" w:rsidRPr="00E6419E" w:rsidRDefault="00046A51"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Cod</w:t>
            </w:r>
          </w:p>
        </w:tc>
        <w:tc>
          <w:tcPr>
            <w:tcW w:w="1108" w:type="dxa"/>
            <w:tcBorders>
              <w:bottom w:val="single" w:sz="4" w:space="0" w:color="auto"/>
            </w:tcBorders>
            <w:shd w:val="clear" w:color="auto" w:fill="EEECE1" w:themeFill="background2"/>
          </w:tcPr>
          <w:p w:rsidR="00046A51" w:rsidRPr="00E6419E" w:rsidRDefault="00046A51"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Tip</w:t>
            </w:r>
          </w:p>
        </w:tc>
        <w:tc>
          <w:tcPr>
            <w:tcW w:w="5178" w:type="dxa"/>
            <w:tcBorders>
              <w:bottom w:val="single" w:sz="4" w:space="0" w:color="auto"/>
            </w:tcBorders>
            <w:shd w:val="clear" w:color="auto" w:fill="EEECE1" w:themeFill="background2"/>
          </w:tcPr>
          <w:p w:rsidR="00046A51" w:rsidRPr="00E6419E" w:rsidRDefault="00046A51"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Denumite indicator</w:t>
            </w:r>
          </w:p>
        </w:tc>
        <w:tc>
          <w:tcPr>
            <w:tcW w:w="6911" w:type="dxa"/>
            <w:tcBorders>
              <w:bottom w:val="single" w:sz="4" w:space="0" w:color="auto"/>
            </w:tcBorders>
            <w:shd w:val="clear" w:color="auto" w:fill="EEECE1" w:themeFill="background2"/>
          </w:tcPr>
          <w:p w:rsidR="00046A51" w:rsidRPr="00E6419E" w:rsidRDefault="00046A51"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Definiția indicatorului</w:t>
            </w:r>
          </w:p>
        </w:tc>
      </w:tr>
      <w:tr w:rsidR="00046A51" w:rsidRPr="00E6419E" w:rsidTr="00FB7B4A">
        <w:tc>
          <w:tcPr>
            <w:tcW w:w="797" w:type="dxa"/>
            <w:shd w:val="clear" w:color="auto" w:fill="F2DBDB" w:themeFill="accent2" w:themeFillTint="33"/>
          </w:tcPr>
          <w:p w:rsidR="00046A51" w:rsidRPr="00E6419E" w:rsidRDefault="000F21C8"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4S93</w:t>
            </w:r>
          </w:p>
        </w:tc>
        <w:tc>
          <w:tcPr>
            <w:tcW w:w="1108" w:type="dxa"/>
            <w:shd w:val="clear" w:color="auto" w:fill="F2DBDB" w:themeFill="accent2" w:themeFillTint="33"/>
          </w:tcPr>
          <w:p w:rsidR="004371A5" w:rsidRPr="00E6419E" w:rsidRDefault="000F21C8" w:rsidP="004371A5">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Realizare</w:t>
            </w:r>
          </w:p>
        </w:tc>
        <w:tc>
          <w:tcPr>
            <w:tcW w:w="5178" w:type="dxa"/>
            <w:shd w:val="clear" w:color="auto" w:fill="F2DBDB" w:themeFill="accent2" w:themeFillTint="33"/>
          </w:tcPr>
          <w:p w:rsidR="00A4365C" w:rsidRPr="00E6419E" w:rsidRDefault="000F21C8" w:rsidP="00A4365C">
            <w:pPr>
              <w:pStyle w:val="Listparagraf"/>
              <w:autoSpaceDE w:val="0"/>
              <w:autoSpaceDN w:val="0"/>
              <w:adjustRightInd w:val="0"/>
              <w:ind w:left="20"/>
              <w:jc w:val="both"/>
              <w:rPr>
                <w:rFonts w:ascii="Times New Roman" w:hAnsi="Times New Roman"/>
                <w:color w:val="17365D" w:themeColor="text2" w:themeShade="BF"/>
              </w:rPr>
            </w:pPr>
            <w:r w:rsidRPr="00E6419E">
              <w:rPr>
                <w:rFonts w:ascii="Times New Roman" w:hAnsi="Times New Roman"/>
                <w:b/>
                <w:color w:val="17365D" w:themeColor="text2" w:themeShade="BF"/>
              </w:rPr>
              <w:t xml:space="preserve">4S93 </w:t>
            </w:r>
            <w:r w:rsidRPr="00E6419E">
              <w:rPr>
                <w:rFonts w:ascii="Times New Roman" w:hAnsi="Times New Roman"/>
                <w:color w:val="17365D" w:themeColor="text2" w:themeShade="BF"/>
              </w:rPr>
              <w:t>-</w:t>
            </w:r>
            <w:r w:rsidR="00BC4D19" w:rsidRPr="00E6419E">
              <w:rPr>
                <w:rFonts w:ascii="Times New Roman" w:hAnsi="Times New Roman"/>
                <w:color w:val="17365D" w:themeColor="text2" w:themeShade="BF"/>
              </w:rPr>
              <w:t xml:space="preserve"> Ofertă educațională</w:t>
            </w:r>
          </w:p>
          <w:p w:rsidR="00BC4D19" w:rsidRPr="00E6419E" w:rsidRDefault="00E6419E" w:rsidP="00BC4D19">
            <w:pPr>
              <w:pStyle w:val="Listparagraf"/>
              <w:numPr>
                <w:ilvl w:val="0"/>
                <w:numId w:val="32"/>
              </w:numPr>
              <w:tabs>
                <w:tab w:val="left" w:pos="303"/>
              </w:tabs>
              <w:autoSpaceDE w:val="0"/>
              <w:autoSpaceDN w:val="0"/>
              <w:adjustRightInd w:val="0"/>
              <w:jc w:val="both"/>
              <w:rPr>
                <w:rFonts w:ascii="Times New Roman" w:hAnsi="Times New Roman"/>
                <w:b/>
                <w:color w:val="17365D" w:themeColor="text2" w:themeShade="BF"/>
              </w:rPr>
            </w:pPr>
            <w:r>
              <w:rPr>
                <w:rFonts w:ascii="Times New Roman" w:hAnsi="Times New Roman"/>
                <w:b/>
                <w:color w:val="17365D" w:themeColor="text2" w:themeShade="BF"/>
              </w:rPr>
              <w:t xml:space="preserve">4S93.1 </w:t>
            </w:r>
            <w:r w:rsidR="00BC4D19" w:rsidRPr="00E6419E">
              <w:rPr>
                <w:rFonts w:ascii="Times New Roman" w:hAnsi="Times New Roman"/>
                <w:color w:val="17365D" w:themeColor="text2" w:themeShade="BF"/>
              </w:rPr>
              <w:t>Ofertă educațională, din care:</w:t>
            </w:r>
            <w:r>
              <w:rPr>
                <w:rFonts w:ascii="Times New Roman" w:hAnsi="Times New Roman"/>
                <w:b/>
                <w:color w:val="17365D" w:themeColor="text2" w:themeShade="BF"/>
              </w:rPr>
              <w:t xml:space="preserve"> </w:t>
            </w:r>
            <w:r w:rsidR="00BC4D19" w:rsidRPr="00E6419E">
              <w:rPr>
                <w:rFonts w:ascii="Times New Roman" w:hAnsi="Times New Roman"/>
                <w:b/>
                <w:color w:val="17365D" w:themeColor="text2" w:themeShade="BF"/>
              </w:rPr>
              <w:t>Orientate pe formarea de competențe cheie</w:t>
            </w:r>
          </w:p>
          <w:p w:rsidR="00BC4D19" w:rsidRPr="00E6419E" w:rsidRDefault="00E6419E" w:rsidP="00BC4D19">
            <w:pPr>
              <w:pStyle w:val="Listparagraf"/>
              <w:numPr>
                <w:ilvl w:val="0"/>
                <w:numId w:val="32"/>
              </w:numPr>
              <w:tabs>
                <w:tab w:val="left" w:pos="303"/>
              </w:tabs>
              <w:autoSpaceDE w:val="0"/>
              <w:autoSpaceDN w:val="0"/>
              <w:adjustRightInd w:val="0"/>
              <w:jc w:val="both"/>
              <w:rPr>
                <w:rFonts w:ascii="Times New Roman" w:hAnsi="Times New Roman"/>
                <w:b/>
                <w:color w:val="17365D" w:themeColor="text2" w:themeShade="BF"/>
              </w:rPr>
            </w:pPr>
            <w:r>
              <w:rPr>
                <w:rFonts w:ascii="Times New Roman" w:hAnsi="Times New Roman"/>
                <w:b/>
                <w:color w:val="17365D" w:themeColor="text2" w:themeShade="BF"/>
              </w:rPr>
              <w:t xml:space="preserve">4S93.2 </w:t>
            </w:r>
            <w:r w:rsidR="00BC4D19" w:rsidRPr="00E6419E">
              <w:rPr>
                <w:rFonts w:ascii="Times New Roman" w:hAnsi="Times New Roman"/>
                <w:color w:val="17365D" w:themeColor="text2" w:themeShade="BF"/>
              </w:rPr>
              <w:t xml:space="preserve">Ofertă educațională, din care: </w:t>
            </w:r>
            <w:r w:rsidR="00BC4D19" w:rsidRPr="00E6419E">
              <w:rPr>
                <w:rFonts w:ascii="Times New Roman" w:hAnsi="Times New Roman"/>
                <w:b/>
                <w:color w:val="17365D" w:themeColor="text2" w:themeShade="BF"/>
              </w:rPr>
              <w:t>Bazate pe utilizarea de soluții digitale</w:t>
            </w:r>
          </w:p>
          <w:p w:rsidR="00BC4D19" w:rsidRPr="00E6419E" w:rsidRDefault="00E6419E" w:rsidP="00E6419E">
            <w:pPr>
              <w:pStyle w:val="Listparagraf"/>
              <w:numPr>
                <w:ilvl w:val="0"/>
                <w:numId w:val="32"/>
              </w:numPr>
              <w:tabs>
                <w:tab w:val="left" w:pos="303"/>
              </w:tabs>
              <w:autoSpaceDE w:val="0"/>
              <w:autoSpaceDN w:val="0"/>
              <w:adjustRightInd w:val="0"/>
              <w:jc w:val="both"/>
              <w:rPr>
                <w:rFonts w:ascii="Times New Roman" w:hAnsi="Times New Roman"/>
                <w:b/>
                <w:color w:val="17365D" w:themeColor="text2" w:themeShade="BF"/>
              </w:rPr>
            </w:pPr>
            <w:r>
              <w:rPr>
                <w:rFonts w:ascii="Times New Roman" w:hAnsi="Times New Roman"/>
                <w:b/>
                <w:color w:val="17365D" w:themeColor="text2" w:themeShade="BF"/>
              </w:rPr>
              <w:t xml:space="preserve">4S93.3 </w:t>
            </w:r>
            <w:r w:rsidR="00BC4D19" w:rsidRPr="00E6419E">
              <w:rPr>
                <w:rFonts w:ascii="Times New Roman" w:hAnsi="Times New Roman"/>
                <w:color w:val="17365D" w:themeColor="text2" w:themeShade="BF"/>
              </w:rPr>
              <w:t>Oferte educaționale validate, din care</w:t>
            </w:r>
            <w:r w:rsidR="00BC4D19" w:rsidRPr="00E6419E">
              <w:rPr>
                <w:rFonts w:ascii="Times New Roman" w:hAnsi="Times New Roman"/>
                <w:b/>
                <w:color w:val="17365D" w:themeColor="text2" w:themeShade="BF"/>
              </w:rPr>
              <w:t xml:space="preserve">: </w:t>
            </w:r>
            <w:r>
              <w:rPr>
                <w:rFonts w:ascii="Times New Roman" w:hAnsi="Times New Roman"/>
                <w:b/>
                <w:color w:val="17365D" w:themeColor="text2" w:themeShade="BF"/>
              </w:rPr>
              <w:t>D</w:t>
            </w:r>
            <w:r w:rsidR="00BC4D19" w:rsidRPr="00E6419E">
              <w:rPr>
                <w:rFonts w:ascii="Times New Roman" w:hAnsi="Times New Roman"/>
                <w:b/>
                <w:color w:val="17365D" w:themeColor="text2" w:themeShade="BF"/>
              </w:rPr>
              <w:t>e tip curriculum la decizia școlii (CD</w:t>
            </w:r>
            <w:r>
              <w:rPr>
                <w:rFonts w:ascii="Times New Roman" w:hAnsi="Times New Roman"/>
                <w:b/>
                <w:color w:val="17365D" w:themeColor="text2" w:themeShade="BF"/>
              </w:rPr>
              <w:t>Ș</w:t>
            </w:r>
            <w:r w:rsidR="00BC4D19" w:rsidRPr="00E6419E">
              <w:rPr>
                <w:rFonts w:ascii="Times New Roman" w:hAnsi="Times New Roman"/>
                <w:b/>
                <w:color w:val="17365D" w:themeColor="text2" w:themeShade="BF"/>
              </w:rPr>
              <w:t>)</w:t>
            </w:r>
          </w:p>
        </w:tc>
        <w:tc>
          <w:tcPr>
            <w:tcW w:w="6911" w:type="dxa"/>
            <w:shd w:val="clear" w:color="auto" w:fill="F2DBDB" w:themeFill="accent2" w:themeFillTint="33"/>
          </w:tcPr>
          <w:p w:rsidR="00BC4D19" w:rsidRPr="00E6419E" w:rsidRDefault="00BC4D19" w:rsidP="00BC4D19">
            <w:pPr>
              <w:jc w:val="both"/>
              <w:rPr>
                <w:rFonts w:ascii="Times New Roman" w:hAnsi="Times New Roman" w:cs="Times New Roman"/>
                <w:color w:val="17365D" w:themeColor="text2" w:themeShade="BF"/>
              </w:rPr>
            </w:pPr>
            <w:r w:rsidRPr="00E6419E">
              <w:rPr>
                <w:rFonts w:ascii="Times New Roman" w:hAnsi="Times New Roman" w:cs="Times New Roman"/>
                <w:color w:val="17365D" w:themeColor="text2" w:themeShade="BF"/>
              </w:rPr>
              <w:t>Acest indicator reprezintă numărul de oferte educaționale sprijinite direct prin FSE în cadrul Obiectivului Specific 6.5 pentru regiunile de dezvoltare eligibile.</w:t>
            </w:r>
          </w:p>
          <w:p w:rsidR="00BC4D19" w:rsidRPr="00E6419E" w:rsidRDefault="00BC4D19" w:rsidP="00BC4D19">
            <w:pPr>
              <w:jc w:val="both"/>
              <w:rPr>
                <w:rFonts w:ascii="Times New Roman" w:hAnsi="Times New Roman" w:cs="Times New Roman"/>
                <w:color w:val="17365D" w:themeColor="text2" w:themeShade="BF"/>
              </w:rPr>
            </w:pPr>
          </w:p>
          <w:p w:rsidR="00BC4D19" w:rsidRPr="00E6419E" w:rsidRDefault="00BC4D19" w:rsidP="00BC4D19">
            <w:pPr>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BC4D19" w:rsidRPr="007B7495" w:rsidRDefault="007B7495" w:rsidP="007B7495">
            <w:pPr>
              <w:pStyle w:val="Listparagraf"/>
              <w:numPr>
                <w:ilvl w:val="0"/>
                <w:numId w:val="41"/>
              </w:numPr>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t xml:space="preserve">Ofertă educațională </w:t>
            </w:r>
            <w:r w:rsidR="00362407" w:rsidRPr="007B7495">
              <w:rPr>
                <w:rStyle w:val="Referinnotdesubsol"/>
                <w:rFonts w:ascii="Times New Roman" w:hAnsi="Times New Roman"/>
                <w:b/>
                <w:color w:val="00B050"/>
              </w:rPr>
              <w:footnoteReference w:id="1"/>
            </w:r>
          </w:p>
          <w:p w:rsidR="00BC4D19" w:rsidRPr="007B7495" w:rsidRDefault="00BC4D19" w:rsidP="007B7495">
            <w:pPr>
              <w:pStyle w:val="Listparagraf"/>
              <w:numPr>
                <w:ilvl w:val="0"/>
                <w:numId w:val="41"/>
              </w:numPr>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t>Curriculumul naţional</w:t>
            </w:r>
            <w:r w:rsidR="007B7495" w:rsidRPr="007B7495">
              <w:rPr>
                <w:rFonts w:ascii="Times New Roman" w:hAnsi="Times New Roman"/>
                <w:b/>
                <w:color w:val="17365D" w:themeColor="text2" w:themeShade="BF"/>
              </w:rPr>
              <w:t xml:space="preserve"> </w:t>
            </w:r>
            <w:r w:rsidR="00362407" w:rsidRPr="007B7495">
              <w:rPr>
                <w:rStyle w:val="Referinnotdesubsol"/>
                <w:rFonts w:ascii="Times New Roman" w:hAnsi="Times New Roman"/>
                <w:b/>
                <w:color w:val="00B050"/>
              </w:rPr>
              <w:footnoteReference w:id="2"/>
            </w:r>
          </w:p>
          <w:p w:rsidR="00BC4D19" w:rsidRPr="007B7495" w:rsidRDefault="00BC4D19" w:rsidP="007B7495">
            <w:pPr>
              <w:pStyle w:val="Listparagraf"/>
              <w:numPr>
                <w:ilvl w:val="0"/>
                <w:numId w:val="41"/>
              </w:numPr>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t xml:space="preserve">Competenţele cheie </w:t>
            </w:r>
            <w:r w:rsidR="00362407" w:rsidRPr="007B7495">
              <w:rPr>
                <w:rStyle w:val="Referinnotdesubsol"/>
                <w:rFonts w:ascii="Times New Roman" w:hAnsi="Times New Roman"/>
                <w:b/>
                <w:color w:val="00B050"/>
              </w:rPr>
              <w:footnoteReference w:id="3"/>
            </w:r>
          </w:p>
          <w:p w:rsidR="00BC4D19" w:rsidRPr="007B7495" w:rsidRDefault="00BC4D19" w:rsidP="007B7495">
            <w:pPr>
              <w:pStyle w:val="Listparagraf"/>
              <w:numPr>
                <w:ilvl w:val="0"/>
                <w:numId w:val="41"/>
              </w:numPr>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lastRenderedPageBreak/>
              <w:t>Soluţii digitale/tip TIC</w:t>
            </w:r>
            <w:r w:rsidR="00362407" w:rsidRPr="007B7495">
              <w:rPr>
                <w:rFonts w:ascii="Times New Roman" w:hAnsi="Times New Roman"/>
                <w:b/>
                <w:color w:val="17365D" w:themeColor="text2" w:themeShade="BF"/>
              </w:rPr>
              <w:t xml:space="preserve"> </w:t>
            </w:r>
            <w:r w:rsidR="00362407" w:rsidRPr="007B7495">
              <w:rPr>
                <w:rStyle w:val="Referinnotdesubsol"/>
                <w:rFonts w:ascii="Times New Roman" w:hAnsi="Times New Roman"/>
                <w:b/>
                <w:color w:val="00B050"/>
              </w:rPr>
              <w:footnoteReference w:id="4"/>
            </w:r>
          </w:p>
          <w:p w:rsidR="000504AC" w:rsidRPr="007B7495" w:rsidRDefault="007B7495" w:rsidP="007B7495">
            <w:pPr>
              <w:pStyle w:val="Listparagraf"/>
              <w:numPr>
                <w:ilvl w:val="0"/>
                <w:numId w:val="41"/>
              </w:numPr>
              <w:spacing w:line="276" w:lineRule="auto"/>
              <w:jc w:val="both"/>
              <w:rPr>
                <w:rFonts w:ascii="Times New Roman" w:hAnsi="Times New Roman"/>
                <w:b/>
                <w:i/>
                <w:color w:val="17365D" w:themeColor="text2" w:themeShade="BF"/>
              </w:rPr>
            </w:pPr>
            <w:r w:rsidRPr="007B7495">
              <w:rPr>
                <w:rFonts w:ascii="Times New Roman" w:hAnsi="Times New Roman"/>
                <w:b/>
                <w:color w:val="17365D" w:themeColor="text2" w:themeShade="BF"/>
              </w:rPr>
              <w:t xml:space="preserve">„Curriculum la decizia şcolii </w:t>
            </w:r>
            <w:r w:rsidR="000504AC" w:rsidRPr="007B7495">
              <w:rPr>
                <w:rStyle w:val="Referinnotdesubsol"/>
                <w:rFonts w:ascii="Times New Roman" w:hAnsi="Times New Roman"/>
                <w:b/>
                <w:color w:val="00B050"/>
              </w:rPr>
              <w:footnoteReference w:id="5"/>
            </w:r>
          </w:p>
          <w:p w:rsidR="007B7495" w:rsidRPr="007B7495" w:rsidRDefault="007B7495" w:rsidP="007B7495">
            <w:pPr>
              <w:pStyle w:val="Listparagraf"/>
              <w:spacing w:line="276" w:lineRule="auto"/>
              <w:jc w:val="both"/>
              <w:rPr>
                <w:rFonts w:ascii="Times New Roman" w:hAnsi="Times New Roman"/>
                <w:b/>
                <w:i/>
                <w:color w:val="17365D" w:themeColor="text2" w:themeShade="BF"/>
              </w:rPr>
            </w:pPr>
          </w:p>
          <w:p w:rsidR="00BC4D19" w:rsidRPr="00E6419E" w:rsidRDefault="00BC4D19" w:rsidP="00BC4D19">
            <w:pPr>
              <w:jc w:val="both"/>
              <w:rPr>
                <w:rFonts w:ascii="Times New Roman" w:hAnsi="Times New Roman" w:cs="Times New Roman"/>
                <w:b/>
                <w:color w:val="FF0000"/>
              </w:rPr>
            </w:pPr>
            <w:r w:rsidRPr="00E6419E">
              <w:rPr>
                <w:rFonts w:ascii="Times New Roman" w:hAnsi="Times New Roman" w:cs="Times New Roman"/>
                <w:b/>
                <w:color w:val="FF0000"/>
              </w:rPr>
              <w:t>DATELE VOR FI COLECTATE, MONITORIZATE ŞI RAPORTATE PENTRU URMĂTOARELE CATEGORII:</w:t>
            </w:r>
          </w:p>
          <w:p w:rsidR="000C43A9" w:rsidRPr="00E6419E" w:rsidRDefault="00BC4D19" w:rsidP="000504AC">
            <w:pPr>
              <w:pStyle w:val="Listparagraf"/>
              <w:numPr>
                <w:ilvl w:val="0"/>
                <w:numId w:val="33"/>
              </w:numPr>
              <w:ind w:left="317" w:hanging="317"/>
              <w:jc w:val="both"/>
              <w:rPr>
                <w:rFonts w:ascii="Times New Roman" w:hAnsi="Times New Roman"/>
                <w:color w:val="17365D" w:themeColor="text2" w:themeShade="BF"/>
              </w:rPr>
            </w:pPr>
            <w:r w:rsidRPr="00E6419E">
              <w:rPr>
                <w:rFonts w:ascii="Times New Roman" w:hAnsi="Times New Roman"/>
                <w:color w:val="17365D" w:themeColor="text2" w:themeShade="BF"/>
              </w:rPr>
              <w:t xml:space="preserve">Ofertă educațională orientată pe formarea de competenţe cheie </w:t>
            </w:r>
          </w:p>
          <w:p w:rsidR="000C43A9" w:rsidRPr="00E6419E" w:rsidRDefault="00BC4D19" w:rsidP="000504AC">
            <w:pPr>
              <w:pStyle w:val="Listparagraf"/>
              <w:numPr>
                <w:ilvl w:val="0"/>
                <w:numId w:val="33"/>
              </w:numPr>
              <w:ind w:left="317" w:hanging="317"/>
              <w:jc w:val="both"/>
              <w:rPr>
                <w:rFonts w:ascii="Times New Roman" w:hAnsi="Times New Roman"/>
                <w:color w:val="17365D" w:themeColor="text2" w:themeShade="BF"/>
              </w:rPr>
            </w:pPr>
            <w:r w:rsidRPr="00E6419E">
              <w:rPr>
                <w:rFonts w:ascii="Times New Roman" w:hAnsi="Times New Roman"/>
                <w:color w:val="17365D" w:themeColor="text2" w:themeShade="BF"/>
              </w:rPr>
              <w:t>Ofertă educațională bazată pe utilizarea de soluţii digitale / de tip TIC</w:t>
            </w:r>
          </w:p>
          <w:p w:rsidR="00BC4D19" w:rsidRPr="00E6419E" w:rsidRDefault="00BC4D19" w:rsidP="000504AC">
            <w:pPr>
              <w:pStyle w:val="Listparagraf"/>
              <w:numPr>
                <w:ilvl w:val="0"/>
                <w:numId w:val="33"/>
              </w:numPr>
              <w:ind w:left="317" w:hanging="317"/>
              <w:jc w:val="both"/>
              <w:rPr>
                <w:rFonts w:ascii="Times New Roman" w:hAnsi="Times New Roman"/>
                <w:color w:val="17365D" w:themeColor="text2" w:themeShade="BF"/>
              </w:rPr>
            </w:pPr>
            <w:r w:rsidRPr="00E6419E">
              <w:rPr>
                <w:rFonts w:ascii="Times New Roman" w:hAnsi="Times New Roman"/>
                <w:color w:val="17365D" w:themeColor="text2" w:themeShade="BF"/>
              </w:rPr>
              <w:t>Ofertă educațională de tip curriculum la decizia școlii (CDS)</w:t>
            </w:r>
          </w:p>
        </w:tc>
      </w:tr>
      <w:tr w:rsidR="00046A51" w:rsidRPr="00E6419E" w:rsidTr="00FB7B4A">
        <w:tc>
          <w:tcPr>
            <w:tcW w:w="797" w:type="dxa"/>
            <w:tcBorders>
              <w:bottom w:val="single" w:sz="4" w:space="0" w:color="auto"/>
            </w:tcBorders>
            <w:shd w:val="clear" w:color="auto" w:fill="F2DBDB" w:themeFill="accent2" w:themeFillTint="33"/>
          </w:tcPr>
          <w:p w:rsidR="00046A51" w:rsidRPr="00E6419E" w:rsidRDefault="000F21C8"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lastRenderedPageBreak/>
              <w:t>4S84</w:t>
            </w:r>
          </w:p>
        </w:tc>
        <w:tc>
          <w:tcPr>
            <w:tcW w:w="1108" w:type="dxa"/>
            <w:tcBorders>
              <w:bottom w:val="single" w:sz="4" w:space="0" w:color="auto"/>
            </w:tcBorders>
            <w:shd w:val="clear" w:color="auto" w:fill="F2DBDB" w:themeFill="accent2" w:themeFillTint="33"/>
          </w:tcPr>
          <w:p w:rsidR="00046A51" w:rsidRPr="00E6419E" w:rsidRDefault="000F21C8" w:rsidP="008C274B">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Rezultat</w:t>
            </w:r>
          </w:p>
        </w:tc>
        <w:tc>
          <w:tcPr>
            <w:tcW w:w="5178" w:type="dxa"/>
            <w:tcBorders>
              <w:bottom w:val="single" w:sz="4" w:space="0" w:color="auto"/>
            </w:tcBorders>
            <w:shd w:val="clear" w:color="auto" w:fill="F2DBDB" w:themeFill="accent2" w:themeFillTint="33"/>
          </w:tcPr>
          <w:p w:rsidR="00D64836" w:rsidRDefault="000F21C8" w:rsidP="008C274B">
            <w:pPr>
              <w:jc w:val="both"/>
              <w:rPr>
                <w:rFonts w:ascii="Times New Roman" w:hAnsi="Times New Roman" w:cs="Times New Roman"/>
                <w:color w:val="17365D" w:themeColor="text2" w:themeShade="BF"/>
              </w:rPr>
            </w:pPr>
            <w:r w:rsidRPr="00E6419E">
              <w:rPr>
                <w:rFonts w:ascii="Times New Roman" w:hAnsi="Times New Roman" w:cs="Times New Roman"/>
                <w:b/>
                <w:color w:val="17365D" w:themeColor="text2" w:themeShade="BF"/>
              </w:rPr>
              <w:t xml:space="preserve">4S84 - </w:t>
            </w:r>
            <w:r w:rsidR="00A02414" w:rsidRPr="00E6419E">
              <w:rPr>
                <w:rFonts w:ascii="Times New Roman" w:hAnsi="Times New Roman" w:cs="Times New Roman"/>
                <w:color w:val="17365D" w:themeColor="text2" w:themeShade="BF"/>
              </w:rPr>
              <w:t>Oferte educaționale validate</w:t>
            </w:r>
          </w:p>
          <w:p w:rsidR="00E6419E" w:rsidRPr="00E6419E" w:rsidRDefault="00E6419E" w:rsidP="008C274B">
            <w:pPr>
              <w:jc w:val="both"/>
              <w:rPr>
                <w:rFonts w:ascii="Times New Roman" w:hAnsi="Times New Roman" w:cs="Times New Roman"/>
                <w:color w:val="17365D" w:themeColor="text2" w:themeShade="BF"/>
              </w:rPr>
            </w:pPr>
          </w:p>
          <w:p w:rsidR="00A02414" w:rsidRPr="00E6419E" w:rsidRDefault="00A02414" w:rsidP="00A02414">
            <w:pPr>
              <w:pStyle w:val="Listparagraf"/>
              <w:numPr>
                <w:ilvl w:val="0"/>
                <w:numId w:val="34"/>
              </w:numPr>
              <w:tabs>
                <w:tab w:val="left" w:pos="303"/>
              </w:tabs>
              <w:ind w:left="162" w:hanging="142"/>
              <w:jc w:val="both"/>
              <w:rPr>
                <w:rFonts w:ascii="Times New Roman" w:hAnsi="Times New Roman"/>
                <w:b/>
                <w:color w:val="17365D" w:themeColor="text2" w:themeShade="BF"/>
              </w:rPr>
            </w:pPr>
            <w:r w:rsidRPr="00E6419E">
              <w:rPr>
                <w:rFonts w:ascii="Times New Roman" w:hAnsi="Times New Roman"/>
                <w:b/>
                <w:color w:val="17365D" w:themeColor="text2" w:themeShade="BF"/>
              </w:rPr>
              <w:t xml:space="preserve">4S84.1 </w:t>
            </w:r>
            <w:r w:rsidRPr="00E6419E">
              <w:rPr>
                <w:rFonts w:ascii="Times New Roman" w:hAnsi="Times New Roman"/>
                <w:color w:val="17365D" w:themeColor="text2" w:themeShade="BF"/>
              </w:rPr>
              <w:t>Oferte educaționale validate, din care:</w:t>
            </w:r>
            <w:r w:rsidRPr="00E6419E">
              <w:rPr>
                <w:rFonts w:ascii="Times New Roman" w:hAnsi="Times New Roman"/>
                <w:b/>
                <w:color w:val="17365D" w:themeColor="text2" w:themeShade="BF"/>
              </w:rPr>
              <w:t xml:space="preserve"> Orientate pe formarea de competențe cheie</w:t>
            </w:r>
          </w:p>
          <w:p w:rsidR="00A02414" w:rsidRPr="00E6419E" w:rsidRDefault="00E6419E" w:rsidP="00A02414">
            <w:pPr>
              <w:pStyle w:val="Listparagraf"/>
              <w:numPr>
                <w:ilvl w:val="0"/>
                <w:numId w:val="34"/>
              </w:numPr>
              <w:tabs>
                <w:tab w:val="left" w:pos="303"/>
              </w:tabs>
              <w:ind w:left="162" w:hanging="142"/>
              <w:jc w:val="both"/>
              <w:rPr>
                <w:rFonts w:ascii="Times New Roman" w:hAnsi="Times New Roman"/>
                <w:b/>
                <w:color w:val="17365D" w:themeColor="text2" w:themeShade="BF"/>
              </w:rPr>
            </w:pPr>
            <w:r>
              <w:rPr>
                <w:rFonts w:ascii="Times New Roman" w:hAnsi="Times New Roman"/>
                <w:b/>
                <w:color w:val="17365D" w:themeColor="text2" w:themeShade="BF"/>
              </w:rPr>
              <w:t xml:space="preserve">4S84.2 </w:t>
            </w:r>
            <w:r w:rsidR="00A02414" w:rsidRPr="00E6419E">
              <w:rPr>
                <w:rFonts w:ascii="Times New Roman" w:hAnsi="Times New Roman"/>
                <w:color w:val="17365D" w:themeColor="text2" w:themeShade="BF"/>
              </w:rPr>
              <w:t xml:space="preserve">Oferte educaționale validate, din care: </w:t>
            </w:r>
            <w:r w:rsidR="00A02414" w:rsidRPr="00E6419E">
              <w:rPr>
                <w:rFonts w:ascii="Times New Roman" w:hAnsi="Times New Roman"/>
                <w:b/>
                <w:color w:val="17365D" w:themeColor="text2" w:themeShade="BF"/>
              </w:rPr>
              <w:t>Bazate pe utilizarea de soluții digitale</w:t>
            </w:r>
          </w:p>
          <w:p w:rsidR="00A02414" w:rsidRPr="00E6419E" w:rsidRDefault="00E6419E" w:rsidP="00A02414">
            <w:pPr>
              <w:pStyle w:val="Listparagraf"/>
              <w:numPr>
                <w:ilvl w:val="0"/>
                <w:numId w:val="34"/>
              </w:numPr>
              <w:tabs>
                <w:tab w:val="left" w:pos="303"/>
              </w:tabs>
              <w:ind w:left="162" w:hanging="142"/>
              <w:jc w:val="both"/>
              <w:rPr>
                <w:rFonts w:ascii="Times New Roman" w:hAnsi="Times New Roman"/>
                <w:b/>
                <w:color w:val="17365D" w:themeColor="text2" w:themeShade="BF"/>
              </w:rPr>
            </w:pPr>
            <w:r>
              <w:rPr>
                <w:rFonts w:ascii="Times New Roman" w:hAnsi="Times New Roman"/>
                <w:b/>
                <w:color w:val="17365D" w:themeColor="text2" w:themeShade="BF"/>
              </w:rPr>
              <w:t xml:space="preserve">4S84.3 </w:t>
            </w:r>
            <w:r w:rsidR="00A02414" w:rsidRPr="00E6419E">
              <w:rPr>
                <w:rFonts w:ascii="Times New Roman" w:hAnsi="Times New Roman"/>
                <w:color w:val="17365D" w:themeColor="text2" w:themeShade="BF"/>
              </w:rPr>
              <w:t>Oferte educaționale validate, din care:</w:t>
            </w:r>
            <w:r w:rsidR="00A02414" w:rsidRPr="00E6419E">
              <w:rPr>
                <w:rFonts w:ascii="Times New Roman" w:hAnsi="Times New Roman"/>
                <w:b/>
                <w:color w:val="17365D" w:themeColor="text2" w:themeShade="BF"/>
              </w:rPr>
              <w:t xml:space="preserve"> de tip curriculum la decizia școlii (CDȘ)</w:t>
            </w:r>
          </w:p>
        </w:tc>
        <w:tc>
          <w:tcPr>
            <w:tcW w:w="6911" w:type="dxa"/>
            <w:tcBorders>
              <w:bottom w:val="single" w:sz="4" w:space="0" w:color="auto"/>
            </w:tcBorders>
            <w:shd w:val="clear" w:color="auto" w:fill="F2DBDB" w:themeFill="accent2" w:themeFillTint="33"/>
          </w:tcPr>
          <w:p w:rsidR="00F860C5" w:rsidRPr="00E6419E" w:rsidRDefault="00A02414" w:rsidP="00230DB2">
            <w:pPr>
              <w:jc w:val="both"/>
              <w:rPr>
                <w:rFonts w:ascii="Times New Roman" w:hAnsi="Times New Roman" w:cs="Times New Roman"/>
                <w:color w:val="17365D" w:themeColor="text2" w:themeShade="BF"/>
              </w:rPr>
            </w:pPr>
            <w:r w:rsidRPr="00E6419E">
              <w:rPr>
                <w:rFonts w:ascii="Times New Roman" w:hAnsi="Times New Roman" w:cs="Times New Roman"/>
                <w:color w:val="17365D" w:themeColor="text2" w:themeShade="BF"/>
              </w:rPr>
              <w:t>Acest indicator reprezintă numărul de oferte educaționale validate în urma sprijinului direct, în cadrul Obiectivului Specific 6.5 pentru toate regiunile de dezvoltare eligibile.</w:t>
            </w:r>
          </w:p>
          <w:p w:rsidR="00A02414" w:rsidRPr="00E6419E" w:rsidRDefault="00A02414" w:rsidP="00230DB2">
            <w:pPr>
              <w:jc w:val="both"/>
              <w:rPr>
                <w:rFonts w:ascii="Times New Roman" w:hAnsi="Times New Roman" w:cs="Times New Roman"/>
                <w:color w:val="17365D" w:themeColor="text2" w:themeShade="BF"/>
              </w:rPr>
            </w:pPr>
          </w:p>
          <w:p w:rsidR="00A02414" w:rsidRPr="00E6419E" w:rsidRDefault="00A02414" w:rsidP="00A02414">
            <w:pPr>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A02414" w:rsidRPr="007B7495" w:rsidRDefault="007B7495" w:rsidP="007B7495">
            <w:pPr>
              <w:pStyle w:val="Listparagraf"/>
              <w:numPr>
                <w:ilvl w:val="0"/>
                <w:numId w:val="42"/>
              </w:numPr>
              <w:jc w:val="both"/>
              <w:rPr>
                <w:rFonts w:ascii="Times New Roman" w:hAnsi="Times New Roman"/>
                <w:color w:val="17365D" w:themeColor="text2" w:themeShade="BF"/>
              </w:rPr>
            </w:pPr>
            <w:r w:rsidRPr="007B7495">
              <w:rPr>
                <w:rFonts w:ascii="Times New Roman" w:hAnsi="Times New Roman"/>
                <w:b/>
                <w:color w:val="17365D" w:themeColor="text2" w:themeShade="BF"/>
              </w:rPr>
              <w:t>Ofertă educațională</w:t>
            </w:r>
            <w:r w:rsidR="005104B9">
              <w:rPr>
                <w:rFonts w:ascii="Times New Roman" w:hAnsi="Times New Roman"/>
                <w:b/>
                <w:color w:val="17365D" w:themeColor="text2" w:themeShade="BF"/>
              </w:rPr>
              <w:t xml:space="preserve"> </w:t>
            </w:r>
            <w:r w:rsidR="00362407" w:rsidRPr="007B7495">
              <w:rPr>
                <w:rFonts w:ascii="Times New Roman" w:hAnsi="Times New Roman"/>
                <w:b/>
                <w:color w:val="00B050"/>
              </w:rPr>
              <w:t>(Idem 1)</w:t>
            </w:r>
          </w:p>
          <w:p w:rsidR="00A02414" w:rsidRPr="007B7495" w:rsidRDefault="00A02414" w:rsidP="007B7495">
            <w:pPr>
              <w:pStyle w:val="Listparagraf"/>
              <w:numPr>
                <w:ilvl w:val="0"/>
                <w:numId w:val="42"/>
              </w:numPr>
              <w:jc w:val="both"/>
              <w:rPr>
                <w:rFonts w:ascii="Times New Roman" w:hAnsi="Times New Roman"/>
                <w:color w:val="17365D" w:themeColor="text2" w:themeShade="BF"/>
              </w:rPr>
            </w:pPr>
            <w:r w:rsidRPr="007B7495">
              <w:rPr>
                <w:rFonts w:ascii="Times New Roman" w:hAnsi="Times New Roman"/>
                <w:b/>
                <w:color w:val="17365D" w:themeColor="text2" w:themeShade="BF"/>
              </w:rPr>
              <w:t>Curriculumul naţional</w:t>
            </w:r>
            <w:r w:rsidR="00362407" w:rsidRPr="007B7495">
              <w:rPr>
                <w:rFonts w:ascii="Times New Roman" w:hAnsi="Times New Roman"/>
                <w:b/>
                <w:color w:val="17365D" w:themeColor="text2" w:themeShade="BF"/>
              </w:rPr>
              <w:t xml:space="preserve"> </w:t>
            </w:r>
            <w:r w:rsidR="00362407" w:rsidRPr="007B7495">
              <w:rPr>
                <w:rFonts w:ascii="Times New Roman" w:hAnsi="Times New Roman"/>
                <w:b/>
                <w:color w:val="00B050"/>
              </w:rPr>
              <w:t>(Idem 2)</w:t>
            </w:r>
          </w:p>
          <w:p w:rsidR="00A02414" w:rsidRPr="007B7495" w:rsidRDefault="00A02414" w:rsidP="007B7495">
            <w:pPr>
              <w:pStyle w:val="Listparagraf"/>
              <w:numPr>
                <w:ilvl w:val="0"/>
                <w:numId w:val="42"/>
              </w:numPr>
              <w:jc w:val="both"/>
              <w:rPr>
                <w:rFonts w:ascii="Times New Roman" w:hAnsi="Times New Roman"/>
                <w:color w:val="17365D" w:themeColor="text2" w:themeShade="BF"/>
              </w:rPr>
            </w:pPr>
            <w:r w:rsidRPr="007B7495">
              <w:rPr>
                <w:rFonts w:ascii="Times New Roman" w:hAnsi="Times New Roman"/>
                <w:b/>
                <w:color w:val="17365D" w:themeColor="text2" w:themeShade="BF"/>
              </w:rPr>
              <w:t>Competenţele cheie</w:t>
            </w:r>
            <w:r w:rsidRPr="007B7495">
              <w:rPr>
                <w:rFonts w:ascii="Times New Roman" w:hAnsi="Times New Roman"/>
                <w:color w:val="17365D" w:themeColor="text2" w:themeShade="BF"/>
              </w:rPr>
              <w:t xml:space="preserve"> </w:t>
            </w:r>
            <w:r w:rsidR="00455D07">
              <w:rPr>
                <w:rFonts w:ascii="Times New Roman" w:hAnsi="Times New Roman"/>
                <w:b/>
                <w:color w:val="00B050"/>
              </w:rPr>
              <w:t xml:space="preserve">(Idem </w:t>
            </w:r>
            <w:r w:rsidR="00362407" w:rsidRPr="007B7495">
              <w:rPr>
                <w:rFonts w:ascii="Times New Roman" w:hAnsi="Times New Roman"/>
                <w:b/>
                <w:color w:val="00B050"/>
              </w:rPr>
              <w:t>3)</w:t>
            </w:r>
          </w:p>
          <w:p w:rsidR="00A02414" w:rsidRPr="007B7495" w:rsidRDefault="00A02414" w:rsidP="007B7495">
            <w:pPr>
              <w:pStyle w:val="Listparagraf"/>
              <w:numPr>
                <w:ilvl w:val="0"/>
                <w:numId w:val="42"/>
              </w:numPr>
              <w:jc w:val="both"/>
              <w:rPr>
                <w:rFonts w:ascii="Times New Roman" w:hAnsi="Times New Roman"/>
                <w:color w:val="17365D" w:themeColor="text2" w:themeShade="BF"/>
              </w:rPr>
            </w:pPr>
            <w:r w:rsidRPr="007B7495">
              <w:rPr>
                <w:rFonts w:ascii="Times New Roman" w:hAnsi="Times New Roman"/>
                <w:b/>
                <w:color w:val="17365D" w:themeColor="text2" w:themeShade="BF"/>
              </w:rPr>
              <w:t>Soluţii digitale/tip TIC</w:t>
            </w:r>
            <w:r w:rsidRPr="007B7495">
              <w:rPr>
                <w:rFonts w:ascii="Times New Roman" w:hAnsi="Times New Roman"/>
                <w:color w:val="17365D" w:themeColor="text2" w:themeShade="BF"/>
              </w:rPr>
              <w:t xml:space="preserve"> </w:t>
            </w:r>
            <w:r w:rsidR="000504AC" w:rsidRPr="007B7495">
              <w:rPr>
                <w:rFonts w:ascii="Times New Roman" w:hAnsi="Times New Roman"/>
                <w:b/>
                <w:color w:val="00B050"/>
              </w:rPr>
              <w:t>(Idem 4)</w:t>
            </w:r>
          </w:p>
          <w:p w:rsidR="00A02414" w:rsidRPr="007B7495" w:rsidRDefault="007B7495" w:rsidP="007B7495">
            <w:pPr>
              <w:pStyle w:val="Listparagraf"/>
              <w:numPr>
                <w:ilvl w:val="0"/>
                <w:numId w:val="42"/>
              </w:numPr>
              <w:jc w:val="both"/>
              <w:rPr>
                <w:rFonts w:ascii="Times New Roman" w:hAnsi="Times New Roman"/>
                <w:b/>
                <w:color w:val="00B050"/>
              </w:rPr>
            </w:pPr>
            <w:r w:rsidRPr="007B7495">
              <w:rPr>
                <w:rFonts w:ascii="Times New Roman" w:hAnsi="Times New Roman"/>
                <w:b/>
                <w:color w:val="17365D" w:themeColor="text2" w:themeShade="BF"/>
              </w:rPr>
              <w:t>Curriculum la decizia şcolii</w:t>
            </w:r>
            <w:r w:rsidR="00A02414" w:rsidRPr="007B7495">
              <w:rPr>
                <w:rFonts w:ascii="Times New Roman" w:hAnsi="Times New Roman"/>
                <w:color w:val="17365D" w:themeColor="text2" w:themeShade="BF"/>
              </w:rPr>
              <w:t xml:space="preserve"> </w:t>
            </w:r>
            <w:r w:rsidR="000504AC" w:rsidRPr="007B7495">
              <w:rPr>
                <w:rFonts w:ascii="Times New Roman" w:hAnsi="Times New Roman"/>
                <w:b/>
                <w:color w:val="00B050"/>
              </w:rPr>
              <w:t>(Idem 5)</w:t>
            </w:r>
          </w:p>
          <w:p w:rsidR="000504AC" w:rsidRPr="00E6419E" w:rsidRDefault="000504AC" w:rsidP="00A02414">
            <w:pPr>
              <w:jc w:val="both"/>
              <w:rPr>
                <w:rFonts w:ascii="Times New Roman" w:hAnsi="Times New Roman" w:cs="Times New Roman"/>
                <w:color w:val="17365D" w:themeColor="text2" w:themeShade="BF"/>
              </w:rPr>
            </w:pPr>
          </w:p>
          <w:p w:rsidR="00A02414" w:rsidRPr="00E6419E" w:rsidRDefault="00A02414" w:rsidP="00A02414">
            <w:pPr>
              <w:jc w:val="both"/>
              <w:rPr>
                <w:rFonts w:ascii="Times New Roman" w:hAnsi="Times New Roman" w:cs="Times New Roman"/>
                <w:b/>
                <w:color w:val="FF0000"/>
              </w:rPr>
            </w:pPr>
            <w:r w:rsidRPr="00E6419E">
              <w:rPr>
                <w:rFonts w:ascii="Times New Roman" w:hAnsi="Times New Roman" w:cs="Times New Roman"/>
                <w:b/>
                <w:color w:val="FF0000"/>
              </w:rPr>
              <w:t>DATELE VOR FI COLECTATE, MONITORIZATE ŞI RAPORTATE PENTRU URMĂTOARELE CATEGORII:</w:t>
            </w:r>
          </w:p>
          <w:p w:rsidR="00A02414" w:rsidRPr="00E6419E" w:rsidRDefault="00A02414" w:rsidP="000504AC">
            <w:pPr>
              <w:pStyle w:val="Listparagraf"/>
              <w:numPr>
                <w:ilvl w:val="0"/>
                <w:numId w:val="35"/>
              </w:numPr>
              <w:ind w:left="317" w:hanging="283"/>
              <w:jc w:val="both"/>
              <w:rPr>
                <w:rFonts w:ascii="Times New Roman" w:hAnsi="Times New Roman"/>
                <w:color w:val="17365D" w:themeColor="text2" w:themeShade="BF"/>
              </w:rPr>
            </w:pPr>
            <w:r w:rsidRPr="00E6419E">
              <w:rPr>
                <w:rFonts w:ascii="Times New Roman" w:hAnsi="Times New Roman"/>
                <w:color w:val="17365D" w:themeColor="text2" w:themeShade="BF"/>
              </w:rPr>
              <w:t xml:space="preserve">Ofertă educațională orientată pe formarea de competenţe cheie </w:t>
            </w:r>
          </w:p>
          <w:p w:rsidR="00A02414" w:rsidRPr="00E6419E" w:rsidRDefault="00A02414" w:rsidP="000504AC">
            <w:pPr>
              <w:pStyle w:val="Listparagraf"/>
              <w:numPr>
                <w:ilvl w:val="0"/>
                <w:numId w:val="35"/>
              </w:numPr>
              <w:ind w:left="317" w:hanging="283"/>
              <w:jc w:val="both"/>
              <w:rPr>
                <w:rFonts w:ascii="Times New Roman" w:hAnsi="Times New Roman"/>
                <w:color w:val="17365D" w:themeColor="text2" w:themeShade="BF"/>
              </w:rPr>
            </w:pPr>
            <w:r w:rsidRPr="00E6419E">
              <w:rPr>
                <w:rFonts w:ascii="Times New Roman" w:hAnsi="Times New Roman"/>
                <w:color w:val="17365D" w:themeColor="text2" w:themeShade="BF"/>
              </w:rPr>
              <w:t>Ofertă educațională bazată pe utilizarea de soluţii digitale / de tip TIC</w:t>
            </w:r>
          </w:p>
          <w:p w:rsidR="00A02414" w:rsidRPr="00E6419E" w:rsidRDefault="00A02414" w:rsidP="000504AC">
            <w:pPr>
              <w:pStyle w:val="Listparagraf"/>
              <w:numPr>
                <w:ilvl w:val="0"/>
                <w:numId w:val="35"/>
              </w:numPr>
              <w:ind w:left="317" w:hanging="283"/>
              <w:jc w:val="both"/>
              <w:rPr>
                <w:rFonts w:ascii="Times New Roman" w:hAnsi="Times New Roman"/>
                <w:color w:val="17365D" w:themeColor="text2" w:themeShade="BF"/>
              </w:rPr>
            </w:pPr>
            <w:r w:rsidRPr="00E6419E">
              <w:rPr>
                <w:rFonts w:ascii="Times New Roman" w:hAnsi="Times New Roman"/>
                <w:color w:val="17365D" w:themeColor="text2" w:themeShade="BF"/>
              </w:rPr>
              <w:t>Ofertă educațională de tip curriculum la decizia școlii (CDS)</w:t>
            </w:r>
          </w:p>
        </w:tc>
      </w:tr>
    </w:tbl>
    <w:tbl>
      <w:tblPr>
        <w:tblStyle w:val="Tabelgril1"/>
        <w:tblW w:w="0" w:type="auto"/>
        <w:tblLook w:val="04A0" w:firstRow="1" w:lastRow="0" w:firstColumn="1" w:lastColumn="0" w:noHBand="0" w:noVBand="1"/>
      </w:tblPr>
      <w:tblGrid>
        <w:gridCol w:w="798"/>
        <w:gridCol w:w="1108"/>
        <w:gridCol w:w="5177"/>
        <w:gridCol w:w="6911"/>
      </w:tblGrid>
      <w:tr w:rsidR="008B312A" w:rsidRPr="00E6419E" w:rsidTr="00FB7B4A">
        <w:tc>
          <w:tcPr>
            <w:tcW w:w="798" w:type="dxa"/>
            <w:shd w:val="clear" w:color="auto" w:fill="E5DFEC" w:themeFill="accent4" w:themeFillTint="33"/>
          </w:tcPr>
          <w:p w:rsidR="008B312A" w:rsidRPr="00E6419E" w:rsidRDefault="008B312A" w:rsidP="00921CF4">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lastRenderedPageBreak/>
              <w:t>4S94</w:t>
            </w:r>
          </w:p>
        </w:tc>
        <w:tc>
          <w:tcPr>
            <w:tcW w:w="1108" w:type="dxa"/>
            <w:shd w:val="clear" w:color="auto" w:fill="E5DFEC" w:themeFill="accent4" w:themeFillTint="33"/>
          </w:tcPr>
          <w:p w:rsidR="008B312A" w:rsidRPr="00E6419E" w:rsidRDefault="008B312A" w:rsidP="00921CF4">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Realizare</w:t>
            </w:r>
          </w:p>
        </w:tc>
        <w:tc>
          <w:tcPr>
            <w:tcW w:w="5177" w:type="dxa"/>
            <w:shd w:val="clear" w:color="auto" w:fill="E5DFEC" w:themeFill="accent4" w:themeFillTint="33"/>
          </w:tcPr>
          <w:p w:rsidR="008B312A" w:rsidRPr="00E6419E" w:rsidRDefault="008B312A" w:rsidP="00921CF4">
            <w:pPr>
              <w:pStyle w:val="Listparagraf"/>
              <w:autoSpaceDE w:val="0"/>
              <w:autoSpaceDN w:val="0"/>
              <w:adjustRightInd w:val="0"/>
              <w:ind w:left="20"/>
              <w:jc w:val="both"/>
              <w:rPr>
                <w:rFonts w:ascii="Times New Roman" w:hAnsi="Times New Roman"/>
                <w:b/>
                <w:color w:val="17365D" w:themeColor="text2" w:themeShade="BF"/>
              </w:rPr>
            </w:pPr>
            <w:r w:rsidRPr="00E6419E">
              <w:rPr>
                <w:rFonts w:ascii="Times New Roman" w:hAnsi="Times New Roman"/>
                <w:b/>
                <w:color w:val="17365D" w:themeColor="text2" w:themeShade="BF"/>
              </w:rPr>
              <w:t xml:space="preserve">4S94 - </w:t>
            </w:r>
            <w:r w:rsidRPr="00E6419E">
              <w:rPr>
                <w:rFonts w:ascii="Times New Roman" w:hAnsi="Times New Roman"/>
                <w:color w:val="17365D" w:themeColor="text2" w:themeShade="BF"/>
              </w:rPr>
              <w:t>Personal didactic/ personal de sprijin care beneficiază de programe de formare/ schimb de bune practici etc</w:t>
            </w:r>
          </w:p>
        </w:tc>
        <w:tc>
          <w:tcPr>
            <w:tcW w:w="6911" w:type="dxa"/>
            <w:shd w:val="clear" w:color="auto" w:fill="E5DFEC" w:themeFill="accent4" w:themeFillTint="33"/>
          </w:tcPr>
          <w:p w:rsidR="008B312A" w:rsidRDefault="008B312A" w:rsidP="00921CF4">
            <w:pPr>
              <w:jc w:val="both"/>
              <w:rPr>
                <w:rFonts w:ascii="Times New Roman" w:hAnsi="Times New Roman" w:cs="Times New Roman"/>
                <w:color w:val="17365D" w:themeColor="text2" w:themeShade="BF"/>
              </w:rPr>
            </w:pPr>
            <w:r w:rsidRPr="00E6419E">
              <w:rPr>
                <w:rFonts w:ascii="Times New Roman" w:hAnsi="Times New Roman" w:cs="Times New Roman"/>
                <w:color w:val="17365D" w:themeColor="text2" w:themeShade="BF"/>
              </w:rPr>
              <w:t xml:space="preserve">Acest indicator reprezintă numărul de persoane care beneficiază de programe de formare / schimb de bune practici, au fost sprijinite direct în cadrul Obiectivului Specific 6.6 şi care, </w:t>
            </w:r>
            <w:r w:rsidRPr="00E6419E">
              <w:rPr>
                <w:rFonts w:ascii="Times New Roman" w:hAnsi="Times New Roman" w:cs="Times New Roman"/>
                <w:b/>
                <w:color w:val="17365D" w:themeColor="text2" w:themeShade="BF"/>
              </w:rPr>
              <w:t>la data intrării în operațiunile FSE</w:t>
            </w:r>
            <w:r w:rsidRPr="00E6419E">
              <w:rPr>
                <w:rFonts w:ascii="Times New Roman" w:hAnsi="Times New Roman" w:cs="Times New Roman"/>
                <w:color w:val="17365D" w:themeColor="text2" w:themeShade="BF"/>
              </w:rPr>
              <w:t>, îndeplinesc cumulativ următoarele criterii:</w:t>
            </w:r>
          </w:p>
          <w:p w:rsidR="00FB7B4A" w:rsidRPr="00E6419E" w:rsidRDefault="00FB7B4A" w:rsidP="00921CF4">
            <w:pPr>
              <w:jc w:val="both"/>
              <w:rPr>
                <w:rFonts w:ascii="Times New Roman" w:hAnsi="Times New Roman" w:cs="Times New Roman"/>
                <w:color w:val="17365D" w:themeColor="text2" w:themeShade="BF"/>
              </w:rPr>
            </w:pPr>
          </w:p>
          <w:p w:rsidR="008B312A" w:rsidRPr="00E6419E" w:rsidRDefault="008B312A" w:rsidP="00921CF4">
            <w:pPr>
              <w:pStyle w:val="Listparagraf"/>
              <w:numPr>
                <w:ilvl w:val="0"/>
                <w:numId w:val="11"/>
              </w:numPr>
              <w:jc w:val="both"/>
              <w:rPr>
                <w:rFonts w:ascii="Times New Roman" w:hAnsi="Times New Roman"/>
                <w:color w:val="17365D" w:themeColor="text2" w:themeShade="BF"/>
              </w:rPr>
            </w:pPr>
            <w:r w:rsidRPr="00E6419E">
              <w:rPr>
                <w:rFonts w:ascii="Times New Roman" w:hAnsi="Times New Roman"/>
                <w:color w:val="17365D" w:themeColor="text2" w:themeShade="BF"/>
              </w:rPr>
              <w:t>activează în una din regiunile de dezvoltare eligibile;</w:t>
            </w:r>
          </w:p>
          <w:p w:rsidR="00FB7B4A" w:rsidRPr="00455D07" w:rsidRDefault="008B312A" w:rsidP="00921CF4">
            <w:pPr>
              <w:pStyle w:val="Listparagraf"/>
              <w:numPr>
                <w:ilvl w:val="0"/>
                <w:numId w:val="11"/>
              </w:numPr>
              <w:jc w:val="both"/>
              <w:rPr>
                <w:rFonts w:ascii="Times New Roman" w:hAnsi="Times New Roman"/>
                <w:color w:val="17365D" w:themeColor="text2" w:themeShade="BF"/>
              </w:rPr>
            </w:pPr>
            <w:r w:rsidRPr="00455D07">
              <w:rPr>
                <w:rFonts w:ascii="Times New Roman" w:hAnsi="Times New Roman"/>
                <w:color w:val="17365D" w:themeColor="text2" w:themeShade="BF"/>
              </w:rPr>
              <w:t>sunt personal didactic / personal de sprijin etc. din învăţământul preuniversitar.</w:t>
            </w:r>
          </w:p>
          <w:p w:rsidR="008B312A" w:rsidRPr="00E6419E" w:rsidRDefault="008B312A" w:rsidP="00921CF4">
            <w:pPr>
              <w:jc w:val="both"/>
              <w:rPr>
                <w:rFonts w:ascii="Times New Roman" w:hAnsi="Times New Roman" w:cs="Times New Roman"/>
                <w:b/>
                <w:color w:val="FF0000"/>
              </w:rPr>
            </w:pPr>
          </w:p>
          <w:p w:rsidR="008B312A" w:rsidRDefault="008B312A" w:rsidP="00921CF4">
            <w:pPr>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8B312A" w:rsidRPr="006A4BCC" w:rsidRDefault="008B312A" w:rsidP="007B7495">
            <w:pPr>
              <w:pStyle w:val="Listparagraf"/>
              <w:numPr>
                <w:ilvl w:val="0"/>
                <w:numId w:val="43"/>
              </w:numPr>
              <w:jc w:val="both"/>
              <w:rPr>
                <w:rFonts w:ascii="Times New Roman" w:hAnsi="Times New Roman"/>
                <w:color w:val="17365D" w:themeColor="text2" w:themeShade="BF"/>
              </w:rPr>
            </w:pPr>
            <w:r w:rsidRPr="007B7495">
              <w:rPr>
                <w:rFonts w:ascii="Times New Roman" w:hAnsi="Times New Roman"/>
                <w:b/>
                <w:color w:val="17365D" w:themeColor="text2" w:themeShade="BF"/>
              </w:rPr>
              <w:t>Personalul din învăţământul preuniversitar</w:t>
            </w:r>
            <w:r w:rsidR="007B7495" w:rsidRPr="007B7495">
              <w:rPr>
                <w:rFonts w:ascii="Times New Roman" w:hAnsi="Times New Roman"/>
                <w:b/>
                <w:color w:val="17365D" w:themeColor="text2" w:themeShade="BF"/>
              </w:rPr>
              <w:t xml:space="preserve"> </w:t>
            </w:r>
            <w:r w:rsidR="000504AC" w:rsidRPr="007B7495">
              <w:rPr>
                <w:rStyle w:val="Referinnotdesubsol"/>
                <w:rFonts w:ascii="Times New Roman" w:hAnsi="Times New Roman"/>
                <w:b/>
                <w:color w:val="00B050"/>
              </w:rPr>
              <w:footnoteReference w:id="6"/>
            </w:r>
          </w:p>
          <w:p w:rsidR="008B312A" w:rsidRPr="007B7495" w:rsidRDefault="008B312A" w:rsidP="007B7495">
            <w:pPr>
              <w:pStyle w:val="Listparagraf"/>
              <w:numPr>
                <w:ilvl w:val="0"/>
                <w:numId w:val="43"/>
              </w:numPr>
              <w:jc w:val="both"/>
              <w:rPr>
                <w:rFonts w:ascii="Times New Roman" w:hAnsi="Times New Roman"/>
                <w:color w:val="17365D" w:themeColor="text2" w:themeShade="BF"/>
              </w:rPr>
            </w:pPr>
            <w:r w:rsidRPr="007B7495">
              <w:rPr>
                <w:rFonts w:ascii="Times New Roman" w:hAnsi="Times New Roman"/>
                <w:b/>
                <w:color w:val="17365D" w:themeColor="text2" w:themeShade="BF"/>
              </w:rPr>
              <w:t>Personalul didactic</w:t>
            </w:r>
            <w:r w:rsidR="000504AC" w:rsidRPr="007B7495">
              <w:rPr>
                <w:rFonts w:ascii="Times New Roman" w:hAnsi="Times New Roman"/>
                <w:b/>
                <w:color w:val="17365D" w:themeColor="text2" w:themeShade="BF"/>
              </w:rPr>
              <w:t xml:space="preserve"> </w:t>
            </w:r>
            <w:r w:rsidR="000504AC" w:rsidRPr="007B7495">
              <w:rPr>
                <w:rStyle w:val="Referinnotdesubsol"/>
                <w:rFonts w:ascii="Times New Roman" w:hAnsi="Times New Roman"/>
                <w:b/>
                <w:color w:val="00B050"/>
              </w:rPr>
              <w:footnoteReference w:id="7"/>
            </w:r>
            <w:r w:rsidRPr="007B7495">
              <w:rPr>
                <w:rFonts w:ascii="Times New Roman" w:hAnsi="Times New Roman"/>
                <w:color w:val="00B050"/>
              </w:rPr>
              <w:t xml:space="preserve"> </w:t>
            </w:r>
          </w:p>
          <w:p w:rsidR="006A4BCC" w:rsidRPr="006A4BCC" w:rsidRDefault="008B312A" w:rsidP="00921CF4">
            <w:pPr>
              <w:pStyle w:val="Listparagraf"/>
              <w:numPr>
                <w:ilvl w:val="0"/>
                <w:numId w:val="43"/>
              </w:numPr>
              <w:jc w:val="both"/>
              <w:rPr>
                <w:rFonts w:ascii="Times New Roman" w:hAnsi="Times New Roman"/>
                <w:color w:val="17365D" w:themeColor="text2" w:themeShade="BF"/>
              </w:rPr>
            </w:pPr>
            <w:r w:rsidRPr="007B7495">
              <w:rPr>
                <w:rFonts w:ascii="Times New Roman" w:hAnsi="Times New Roman"/>
                <w:b/>
                <w:color w:val="17365D" w:themeColor="text2" w:themeShade="BF"/>
              </w:rPr>
              <w:t>Personalul didactic auxiliar</w:t>
            </w:r>
            <w:r w:rsidRPr="007B7495">
              <w:rPr>
                <w:rFonts w:ascii="Times New Roman" w:hAnsi="Times New Roman"/>
                <w:color w:val="17365D" w:themeColor="text2" w:themeShade="BF"/>
              </w:rPr>
              <w:t xml:space="preserve"> </w:t>
            </w:r>
            <w:r w:rsidR="000504AC" w:rsidRPr="007B7495">
              <w:rPr>
                <w:rStyle w:val="Referinnotdesubsol"/>
                <w:rFonts w:ascii="Times New Roman" w:hAnsi="Times New Roman"/>
                <w:b/>
                <w:color w:val="00B050"/>
              </w:rPr>
              <w:footnoteReference w:id="8"/>
            </w:r>
            <w:r w:rsidR="000504AC" w:rsidRPr="007B7495">
              <w:rPr>
                <w:rFonts w:ascii="Times New Roman" w:hAnsi="Times New Roman"/>
                <w:b/>
                <w:color w:val="00B050"/>
              </w:rPr>
              <w:t xml:space="preserve"> </w:t>
            </w:r>
          </w:p>
          <w:p w:rsidR="006A4BCC" w:rsidRPr="006A4BCC" w:rsidRDefault="008B312A" w:rsidP="00921CF4">
            <w:pPr>
              <w:pStyle w:val="Listparagraf"/>
              <w:numPr>
                <w:ilvl w:val="0"/>
                <w:numId w:val="43"/>
              </w:numPr>
              <w:jc w:val="both"/>
              <w:rPr>
                <w:rFonts w:ascii="Times New Roman" w:hAnsi="Times New Roman"/>
                <w:color w:val="17365D" w:themeColor="text2" w:themeShade="BF"/>
              </w:rPr>
            </w:pPr>
            <w:r w:rsidRPr="006A4BCC">
              <w:rPr>
                <w:rFonts w:ascii="Times New Roman" w:hAnsi="Times New Roman"/>
                <w:b/>
                <w:color w:val="17365D" w:themeColor="text2" w:themeShade="BF"/>
              </w:rPr>
              <w:t>Programele de formare</w:t>
            </w:r>
            <w:r w:rsidR="000504AC" w:rsidRPr="006A4BCC">
              <w:rPr>
                <w:rFonts w:ascii="Times New Roman" w:hAnsi="Times New Roman"/>
                <w:b/>
                <w:color w:val="17365D" w:themeColor="text2" w:themeShade="BF"/>
              </w:rPr>
              <w:t xml:space="preserve"> </w:t>
            </w:r>
            <w:r w:rsidR="000504AC" w:rsidRPr="006A4BCC">
              <w:rPr>
                <w:rStyle w:val="Referinnotdesubsol"/>
                <w:rFonts w:ascii="Times New Roman" w:hAnsi="Times New Roman"/>
                <w:b/>
                <w:color w:val="00B050"/>
              </w:rPr>
              <w:footnoteReference w:id="9"/>
            </w:r>
          </w:p>
          <w:p w:rsidR="006A4BCC" w:rsidRPr="006A4BCC" w:rsidRDefault="008B312A" w:rsidP="00B77D0F">
            <w:pPr>
              <w:pStyle w:val="Listparagraf"/>
              <w:numPr>
                <w:ilvl w:val="0"/>
                <w:numId w:val="43"/>
              </w:numPr>
              <w:jc w:val="both"/>
              <w:rPr>
                <w:rFonts w:ascii="Times New Roman" w:hAnsi="Times New Roman"/>
                <w:color w:val="17365D" w:themeColor="text2" w:themeShade="BF"/>
              </w:rPr>
            </w:pPr>
            <w:r w:rsidRPr="006A4BCC">
              <w:rPr>
                <w:rFonts w:ascii="Times New Roman" w:hAnsi="Times New Roman"/>
                <w:b/>
                <w:color w:val="17365D" w:themeColor="text2" w:themeShade="BF"/>
              </w:rPr>
              <w:lastRenderedPageBreak/>
              <w:t>Schimburi de bune practici</w:t>
            </w:r>
            <w:r w:rsidR="000504AC" w:rsidRPr="006A4BCC">
              <w:rPr>
                <w:rFonts w:ascii="Times New Roman" w:hAnsi="Times New Roman"/>
                <w:b/>
                <w:color w:val="17365D" w:themeColor="text2" w:themeShade="BF"/>
              </w:rPr>
              <w:t xml:space="preserve"> </w:t>
            </w:r>
            <w:r w:rsidR="000504AC" w:rsidRPr="006A4BCC">
              <w:rPr>
                <w:rStyle w:val="Referinnotdesubsol"/>
                <w:rFonts w:ascii="Times New Roman" w:hAnsi="Times New Roman"/>
                <w:b/>
                <w:color w:val="00B050"/>
              </w:rPr>
              <w:footnoteReference w:id="10"/>
            </w:r>
            <w:r w:rsidRPr="006A4BCC">
              <w:rPr>
                <w:rFonts w:ascii="Times New Roman" w:hAnsi="Times New Roman"/>
                <w:color w:val="00B050"/>
              </w:rPr>
              <w:t xml:space="preserve"> </w:t>
            </w:r>
          </w:p>
          <w:p w:rsidR="006A4BCC" w:rsidRPr="006A4BCC" w:rsidRDefault="008B312A" w:rsidP="006A4BCC">
            <w:pPr>
              <w:pStyle w:val="Listparagraf"/>
              <w:numPr>
                <w:ilvl w:val="0"/>
                <w:numId w:val="43"/>
              </w:numPr>
              <w:jc w:val="both"/>
              <w:rPr>
                <w:rFonts w:ascii="Times New Roman" w:hAnsi="Times New Roman"/>
                <w:color w:val="17365D" w:themeColor="text2" w:themeShade="BF"/>
              </w:rPr>
            </w:pPr>
            <w:r w:rsidRPr="006A4BCC">
              <w:rPr>
                <w:rFonts w:ascii="Times New Roman" w:hAnsi="Times New Roman"/>
                <w:b/>
                <w:color w:val="17365D" w:themeColor="text2" w:themeShade="BF"/>
              </w:rPr>
              <w:t>Data intrării în operațiunile FSE</w:t>
            </w:r>
            <w:r w:rsidR="005104B9">
              <w:rPr>
                <w:rFonts w:ascii="Times New Roman" w:hAnsi="Times New Roman"/>
                <w:b/>
                <w:color w:val="17365D" w:themeColor="text2" w:themeShade="BF"/>
              </w:rPr>
              <w:t xml:space="preserve"> </w:t>
            </w:r>
            <w:r w:rsidR="005104B9" w:rsidRPr="005104B9">
              <w:rPr>
                <w:rStyle w:val="Referinnotdesubsol"/>
                <w:rFonts w:ascii="Times New Roman" w:hAnsi="Times New Roman"/>
                <w:b/>
                <w:color w:val="00B050"/>
              </w:rPr>
              <w:footnoteReference w:id="11"/>
            </w:r>
            <w:r w:rsidRPr="005104B9">
              <w:rPr>
                <w:rFonts w:ascii="Times New Roman" w:hAnsi="Times New Roman"/>
                <w:color w:val="00B050"/>
              </w:rPr>
              <w:t xml:space="preserve"> </w:t>
            </w:r>
          </w:p>
          <w:p w:rsidR="008B312A" w:rsidRPr="006A4BCC" w:rsidRDefault="008B312A" w:rsidP="006A4BCC">
            <w:pPr>
              <w:pStyle w:val="Listparagraf"/>
              <w:numPr>
                <w:ilvl w:val="0"/>
                <w:numId w:val="43"/>
              </w:numPr>
              <w:jc w:val="both"/>
              <w:rPr>
                <w:rFonts w:ascii="Times New Roman" w:hAnsi="Times New Roman"/>
                <w:color w:val="17365D" w:themeColor="text2" w:themeShade="BF"/>
              </w:rPr>
            </w:pPr>
            <w:r w:rsidRPr="006A4BCC">
              <w:rPr>
                <w:rFonts w:ascii="Times New Roman" w:hAnsi="Times New Roman"/>
                <w:b/>
                <w:color w:val="17365D" w:themeColor="text2" w:themeShade="BF"/>
              </w:rPr>
              <w:t>Operațiune</w:t>
            </w:r>
            <w:r w:rsidRPr="006A4BCC">
              <w:rPr>
                <w:rFonts w:ascii="Times New Roman" w:hAnsi="Times New Roman"/>
                <w:color w:val="17365D" w:themeColor="text2" w:themeShade="BF"/>
              </w:rPr>
              <w:t xml:space="preserve"> </w:t>
            </w:r>
            <w:r w:rsidR="005104B9" w:rsidRPr="005104B9">
              <w:rPr>
                <w:rStyle w:val="Referinnotdesubsol"/>
                <w:rFonts w:ascii="Times New Roman" w:hAnsi="Times New Roman"/>
                <w:b/>
                <w:color w:val="00B050"/>
              </w:rPr>
              <w:footnoteReference w:id="12"/>
            </w:r>
          </w:p>
        </w:tc>
      </w:tr>
      <w:tr w:rsidR="008B312A" w:rsidRPr="00E6419E" w:rsidTr="00160079">
        <w:trPr>
          <w:trHeight w:val="1320"/>
        </w:trPr>
        <w:tc>
          <w:tcPr>
            <w:tcW w:w="798" w:type="dxa"/>
            <w:shd w:val="clear" w:color="auto" w:fill="E5DFEC" w:themeFill="accent4" w:themeFillTint="33"/>
          </w:tcPr>
          <w:p w:rsidR="008B312A" w:rsidRPr="00E6419E" w:rsidRDefault="008B312A" w:rsidP="00921CF4">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lastRenderedPageBreak/>
              <w:t>4S86</w:t>
            </w:r>
          </w:p>
        </w:tc>
        <w:tc>
          <w:tcPr>
            <w:tcW w:w="1108" w:type="dxa"/>
            <w:shd w:val="clear" w:color="auto" w:fill="E5DFEC" w:themeFill="accent4" w:themeFillTint="33"/>
          </w:tcPr>
          <w:p w:rsidR="008B312A" w:rsidRPr="00E6419E" w:rsidRDefault="008B312A" w:rsidP="00921CF4">
            <w:pPr>
              <w:jc w:val="both"/>
              <w:rPr>
                <w:rFonts w:ascii="Times New Roman" w:hAnsi="Times New Roman" w:cs="Times New Roman"/>
                <w:b/>
                <w:color w:val="17365D" w:themeColor="text2" w:themeShade="BF"/>
              </w:rPr>
            </w:pPr>
            <w:r w:rsidRPr="00E6419E">
              <w:rPr>
                <w:rFonts w:ascii="Times New Roman" w:hAnsi="Times New Roman" w:cs="Times New Roman"/>
                <w:b/>
                <w:color w:val="17365D" w:themeColor="text2" w:themeShade="BF"/>
              </w:rPr>
              <w:t>Rezultat</w:t>
            </w:r>
          </w:p>
        </w:tc>
        <w:tc>
          <w:tcPr>
            <w:tcW w:w="5177" w:type="dxa"/>
            <w:shd w:val="clear" w:color="auto" w:fill="E5DFEC" w:themeFill="accent4" w:themeFillTint="33"/>
          </w:tcPr>
          <w:p w:rsidR="008B312A" w:rsidRPr="00E6419E" w:rsidRDefault="008B312A" w:rsidP="00921CF4">
            <w:pPr>
              <w:jc w:val="both"/>
              <w:rPr>
                <w:rFonts w:ascii="Times New Roman" w:hAnsi="Times New Roman" w:cs="Times New Roman"/>
                <w:color w:val="17365D" w:themeColor="text2" w:themeShade="BF"/>
              </w:rPr>
            </w:pPr>
            <w:r w:rsidRPr="00E6419E">
              <w:rPr>
                <w:rFonts w:ascii="Times New Roman" w:hAnsi="Times New Roman" w:cs="Times New Roman"/>
                <w:b/>
                <w:color w:val="17365D" w:themeColor="text2" w:themeShade="BF"/>
              </w:rPr>
              <w:t xml:space="preserve">4S86 - </w:t>
            </w:r>
            <w:r w:rsidRPr="00E6419E">
              <w:rPr>
                <w:rFonts w:ascii="Times New Roman" w:hAnsi="Times New Roman" w:cs="Times New Roman"/>
                <w:color w:val="17365D" w:themeColor="text2" w:themeShade="BF"/>
              </w:rPr>
              <w:t>Personal didactic/ personal de sprijin care și-a îmbunătățit nivelul de competente/ certificat</w:t>
            </w:r>
          </w:p>
        </w:tc>
        <w:tc>
          <w:tcPr>
            <w:tcW w:w="6911" w:type="dxa"/>
            <w:shd w:val="clear" w:color="auto" w:fill="E5DFEC" w:themeFill="accent4" w:themeFillTint="33"/>
          </w:tcPr>
          <w:p w:rsidR="008B312A" w:rsidRPr="00E6419E" w:rsidRDefault="008B312A" w:rsidP="00921CF4">
            <w:pPr>
              <w:ind w:left="-60"/>
              <w:jc w:val="both"/>
              <w:rPr>
                <w:rFonts w:ascii="Times New Roman" w:hAnsi="Times New Roman" w:cs="Times New Roman"/>
                <w:color w:val="17365D" w:themeColor="text2" w:themeShade="BF"/>
              </w:rPr>
            </w:pPr>
            <w:r w:rsidRPr="00E6419E">
              <w:rPr>
                <w:rFonts w:ascii="Times New Roman" w:hAnsi="Times New Roman" w:cs="Times New Roman"/>
                <w:color w:val="17365D" w:themeColor="text2" w:themeShade="BF"/>
              </w:rPr>
              <w:t xml:space="preserve">Acest indicator reprezintă numărul de persoane care şi-a îmbunătăţit sau certificat nivelul de competenţe, au fost sprijinite direct în cadrul Obiectivului Specific 6.6 şi care, </w:t>
            </w:r>
            <w:r w:rsidRPr="00E6419E">
              <w:rPr>
                <w:rFonts w:ascii="Times New Roman" w:hAnsi="Times New Roman" w:cs="Times New Roman"/>
                <w:b/>
                <w:color w:val="17365D" w:themeColor="text2" w:themeShade="BF"/>
              </w:rPr>
              <w:t>la data intrării în operațiunile FSE</w:t>
            </w:r>
            <w:r w:rsidRPr="00E6419E">
              <w:rPr>
                <w:rFonts w:ascii="Times New Roman" w:hAnsi="Times New Roman" w:cs="Times New Roman"/>
                <w:color w:val="17365D" w:themeColor="text2" w:themeShade="BF"/>
              </w:rPr>
              <w:t>, îndeplinesc cumulativ următoarele criterii:</w:t>
            </w:r>
          </w:p>
          <w:p w:rsidR="008B312A" w:rsidRPr="00E6419E" w:rsidRDefault="008B312A" w:rsidP="00921CF4">
            <w:pPr>
              <w:pStyle w:val="Listparagraf"/>
              <w:numPr>
                <w:ilvl w:val="0"/>
                <w:numId w:val="12"/>
              </w:numPr>
              <w:jc w:val="both"/>
              <w:rPr>
                <w:rFonts w:ascii="Times New Roman" w:hAnsi="Times New Roman"/>
                <w:color w:val="17365D" w:themeColor="text2" w:themeShade="BF"/>
              </w:rPr>
            </w:pPr>
            <w:r w:rsidRPr="00E6419E">
              <w:rPr>
                <w:rFonts w:ascii="Times New Roman" w:hAnsi="Times New Roman"/>
                <w:color w:val="17365D" w:themeColor="text2" w:themeShade="BF"/>
              </w:rPr>
              <w:t>activează în una din regiunile de dezvoltare eligibile;</w:t>
            </w:r>
          </w:p>
          <w:p w:rsidR="008B312A" w:rsidRDefault="008B312A" w:rsidP="00921CF4">
            <w:pPr>
              <w:pStyle w:val="Listparagraf"/>
              <w:numPr>
                <w:ilvl w:val="0"/>
                <w:numId w:val="12"/>
              </w:numPr>
              <w:jc w:val="both"/>
              <w:rPr>
                <w:rFonts w:ascii="Times New Roman" w:hAnsi="Times New Roman"/>
                <w:color w:val="17365D" w:themeColor="text2" w:themeShade="BF"/>
              </w:rPr>
            </w:pPr>
            <w:r w:rsidRPr="00E6419E">
              <w:rPr>
                <w:rFonts w:ascii="Times New Roman" w:hAnsi="Times New Roman"/>
                <w:color w:val="17365D" w:themeColor="text2" w:themeShade="BF"/>
              </w:rPr>
              <w:t>sunt personal didactic / personal de sprijin etc. din învăţământul preuniversitar.</w:t>
            </w:r>
          </w:p>
          <w:p w:rsidR="0064620D" w:rsidRDefault="0064620D" w:rsidP="0064620D">
            <w:pPr>
              <w:jc w:val="both"/>
              <w:rPr>
                <w:rFonts w:ascii="Times New Roman" w:hAnsi="Times New Roman"/>
                <w:color w:val="17365D" w:themeColor="text2" w:themeShade="BF"/>
              </w:rPr>
            </w:pPr>
          </w:p>
          <w:p w:rsidR="008B312A" w:rsidRDefault="008B312A" w:rsidP="00921CF4">
            <w:pPr>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8B312A" w:rsidRPr="003B664B" w:rsidRDefault="008B312A" w:rsidP="003B664B">
            <w:pPr>
              <w:pStyle w:val="Listparagraf"/>
              <w:numPr>
                <w:ilvl w:val="0"/>
                <w:numId w:val="44"/>
              </w:numPr>
              <w:spacing w:line="276" w:lineRule="auto"/>
              <w:jc w:val="both"/>
              <w:rPr>
                <w:rFonts w:ascii="Times New Roman" w:hAnsi="Times New Roman"/>
                <w:i/>
                <w:color w:val="17365D" w:themeColor="text2" w:themeShade="BF"/>
              </w:rPr>
            </w:pPr>
            <w:r w:rsidRPr="003B664B">
              <w:rPr>
                <w:rFonts w:ascii="Times New Roman" w:hAnsi="Times New Roman"/>
                <w:b/>
                <w:color w:val="17365D" w:themeColor="text2" w:themeShade="BF"/>
              </w:rPr>
              <w:t>Personalul din învăţământul preuniversitar</w:t>
            </w:r>
            <w:r w:rsidRPr="003B664B">
              <w:rPr>
                <w:rFonts w:ascii="Times New Roman" w:hAnsi="Times New Roman"/>
                <w:color w:val="17365D" w:themeColor="text2" w:themeShade="BF"/>
              </w:rPr>
              <w:t xml:space="preserve"> </w:t>
            </w:r>
            <w:r w:rsidR="00455D07">
              <w:rPr>
                <w:rFonts w:ascii="Times New Roman" w:hAnsi="Times New Roman"/>
                <w:b/>
                <w:color w:val="00B050"/>
              </w:rPr>
              <w:t xml:space="preserve">(Idem </w:t>
            </w:r>
            <w:r w:rsidR="000504AC" w:rsidRPr="003B664B">
              <w:rPr>
                <w:rFonts w:ascii="Times New Roman" w:hAnsi="Times New Roman"/>
                <w:b/>
                <w:color w:val="00B050"/>
              </w:rPr>
              <w:t>6)</w:t>
            </w:r>
          </w:p>
          <w:p w:rsidR="008B312A" w:rsidRPr="003B664B" w:rsidRDefault="008B312A" w:rsidP="003B664B">
            <w:pPr>
              <w:pStyle w:val="Listparagraf"/>
              <w:numPr>
                <w:ilvl w:val="0"/>
                <w:numId w:val="44"/>
              </w:numPr>
              <w:spacing w:line="276" w:lineRule="auto"/>
              <w:jc w:val="both"/>
              <w:rPr>
                <w:rFonts w:ascii="Times New Roman" w:hAnsi="Times New Roman"/>
                <w:color w:val="17365D" w:themeColor="text2" w:themeShade="BF"/>
              </w:rPr>
            </w:pPr>
            <w:r w:rsidRPr="003B664B">
              <w:rPr>
                <w:rFonts w:ascii="Times New Roman" w:hAnsi="Times New Roman"/>
                <w:b/>
                <w:color w:val="17365D" w:themeColor="text2" w:themeShade="BF"/>
              </w:rPr>
              <w:t xml:space="preserve">Personalul didactic” </w:t>
            </w:r>
            <w:r w:rsidR="000504AC" w:rsidRPr="003B664B">
              <w:rPr>
                <w:rFonts w:ascii="Times New Roman" w:hAnsi="Times New Roman"/>
                <w:b/>
                <w:color w:val="00B050"/>
              </w:rPr>
              <w:t>(Idem 7)</w:t>
            </w:r>
          </w:p>
          <w:p w:rsidR="008B312A" w:rsidRPr="003B664B" w:rsidRDefault="008B312A" w:rsidP="003B664B">
            <w:pPr>
              <w:pStyle w:val="Listparagraf"/>
              <w:numPr>
                <w:ilvl w:val="0"/>
                <w:numId w:val="44"/>
              </w:numPr>
              <w:spacing w:line="276" w:lineRule="auto"/>
              <w:jc w:val="both"/>
              <w:rPr>
                <w:rFonts w:ascii="Times New Roman" w:hAnsi="Times New Roman"/>
                <w:color w:val="17365D" w:themeColor="text2" w:themeShade="BF"/>
              </w:rPr>
            </w:pPr>
            <w:r w:rsidRPr="003B664B">
              <w:rPr>
                <w:rFonts w:ascii="Times New Roman" w:hAnsi="Times New Roman"/>
                <w:b/>
                <w:color w:val="17365D" w:themeColor="text2" w:themeShade="BF"/>
              </w:rPr>
              <w:t>Personalul didactic auxiliar</w:t>
            </w:r>
            <w:r w:rsidRPr="003B664B">
              <w:rPr>
                <w:rFonts w:ascii="Times New Roman" w:hAnsi="Times New Roman"/>
                <w:color w:val="17365D" w:themeColor="text2" w:themeShade="BF"/>
              </w:rPr>
              <w:t xml:space="preserve"> </w:t>
            </w:r>
            <w:r w:rsidR="000504AC" w:rsidRPr="003B664B">
              <w:rPr>
                <w:rFonts w:ascii="Times New Roman" w:hAnsi="Times New Roman"/>
                <w:color w:val="17365D" w:themeColor="text2" w:themeShade="BF"/>
              </w:rPr>
              <w:t xml:space="preserve"> </w:t>
            </w:r>
            <w:r w:rsidR="000504AC" w:rsidRPr="003B664B">
              <w:rPr>
                <w:rFonts w:ascii="Times New Roman" w:hAnsi="Times New Roman"/>
                <w:b/>
                <w:color w:val="00B050"/>
              </w:rPr>
              <w:t>(Idem 8)</w:t>
            </w:r>
          </w:p>
          <w:p w:rsidR="008B312A" w:rsidRPr="003B664B" w:rsidRDefault="008B312A" w:rsidP="003B664B">
            <w:pPr>
              <w:pStyle w:val="Listparagraf"/>
              <w:numPr>
                <w:ilvl w:val="0"/>
                <w:numId w:val="44"/>
              </w:numPr>
              <w:spacing w:line="276" w:lineRule="auto"/>
              <w:jc w:val="both"/>
              <w:rPr>
                <w:rFonts w:ascii="Times New Roman" w:hAnsi="Times New Roman"/>
                <w:color w:val="17365D" w:themeColor="text2" w:themeShade="BF"/>
              </w:rPr>
            </w:pPr>
            <w:r w:rsidRPr="003B664B">
              <w:rPr>
                <w:rFonts w:ascii="Times New Roman" w:hAnsi="Times New Roman"/>
                <w:b/>
                <w:color w:val="17365D" w:themeColor="text2" w:themeShade="BF"/>
              </w:rPr>
              <w:lastRenderedPageBreak/>
              <w:t>Competenţele profesionale</w:t>
            </w:r>
            <w:r w:rsidRPr="003B664B">
              <w:rPr>
                <w:rFonts w:ascii="Times New Roman" w:hAnsi="Times New Roman"/>
                <w:color w:val="17365D" w:themeColor="text2" w:themeShade="BF"/>
              </w:rPr>
              <w:t xml:space="preserve"> </w:t>
            </w:r>
            <w:r w:rsidR="000504AC" w:rsidRPr="003B664B">
              <w:rPr>
                <w:rStyle w:val="Referinnotdesubsol"/>
                <w:rFonts w:ascii="Times New Roman" w:hAnsi="Times New Roman"/>
                <w:b/>
                <w:color w:val="00B050"/>
              </w:rPr>
              <w:footnoteReference w:id="13"/>
            </w:r>
          </w:p>
          <w:p w:rsidR="008B312A" w:rsidRPr="003B664B" w:rsidRDefault="008B312A" w:rsidP="003B664B">
            <w:pPr>
              <w:pStyle w:val="Listparagraf"/>
              <w:numPr>
                <w:ilvl w:val="0"/>
                <w:numId w:val="44"/>
              </w:numPr>
              <w:spacing w:line="276" w:lineRule="auto"/>
              <w:jc w:val="both"/>
              <w:rPr>
                <w:rFonts w:ascii="Times New Roman" w:hAnsi="Times New Roman"/>
                <w:i/>
                <w:color w:val="17365D" w:themeColor="text2" w:themeShade="BF"/>
              </w:rPr>
            </w:pPr>
            <w:r w:rsidRPr="003B664B">
              <w:rPr>
                <w:rFonts w:ascii="Times New Roman" w:hAnsi="Times New Roman"/>
                <w:b/>
                <w:color w:val="17365D" w:themeColor="text2" w:themeShade="BF"/>
              </w:rPr>
              <w:t>Certificarea</w:t>
            </w:r>
            <w:r w:rsidRPr="003B664B">
              <w:rPr>
                <w:rFonts w:ascii="Times New Roman" w:hAnsi="Times New Roman"/>
                <w:color w:val="17365D" w:themeColor="text2" w:themeShade="BF"/>
              </w:rPr>
              <w:t xml:space="preserve"> </w:t>
            </w:r>
            <w:r w:rsidR="000504AC" w:rsidRPr="003B664B">
              <w:rPr>
                <w:rStyle w:val="Referinnotdesubsol"/>
                <w:rFonts w:ascii="Times New Roman" w:hAnsi="Times New Roman"/>
                <w:b/>
                <w:color w:val="00B050"/>
              </w:rPr>
              <w:footnoteReference w:id="14"/>
            </w:r>
          </w:p>
          <w:p w:rsidR="008B312A" w:rsidRPr="003B664B" w:rsidRDefault="008B312A" w:rsidP="003B664B">
            <w:pPr>
              <w:pStyle w:val="Listparagraf"/>
              <w:numPr>
                <w:ilvl w:val="0"/>
                <w:numId w:val="44"/>
              </w:numPr>
              <w:spacing w:line="276" w:lineRule="auto"/>
              <w:jc w:val="both"/>
              <w:rPr>
                <w:rFonts w:ascii="Times New Roman" w:hAnsi="Times New Roman"/>
                <w:b/>
                <w:color w:val="00B050"/>
              </w:rPr>
            </w:pPr>
            <w:r w:rsidRPr="003B664B">
              <w:rPr>
                <w:rFonts w:ascii="Times New Roman" w:hAnsi="Times New Roman"/>
                <w:b/>
                <w:color w:val="17365D" w:themeColor="text2" w:themeShade="BF"/>
              </w:rPr>
              <w:t>Data intrării în operațiunile FSE</w:t>
            </w:r>
            <w:r w:rsidRPr="003B664B">
              <w:rPr>
                <w:rFonts w:ascii="Times New Roman" w:hAnsi="Times New Roman"/>
                <w:color w:val="17365D" w:themeColor="text2" w:themeShade="BF"/>
              </w:rPr>
              <w:t xml:space="preserve"> </w:t>
            </w:r>
            <w:r w:rsidR="00455D07">
              <w:rPr>
                <w:rFonts w:ascii="Times New Roman" w:hAnsi="Times New Roman"/>
                <w:b/>
                <w:color w:val="00B050"/>
              </w:rPr>
              <w:t>(Idem 11</w:t>
            </w:r>
            <w:r w:rsidR="00B77D0F" w:rsidRPr="003B664B">
              <w:rPr>
                <w:rFonts w:ascii="Times New Roman" w:hAnsi="Times New Roman"/>
                <w:b/>
                <w:color w:val="00B050"/>
              </w:rPr>
              <w:t>)</w:t>
            </w:r>
          </w:p>
          <w:p w:rsidR="008B312A" w:rsidRPr="00160079" w:rsidRDefault="008B312A" w:rsidP="00455D07">
            <w:pPr>
              <w:pStyle w:val="Listparagraf"/>
              <w:numPr>
                <w:ilvl w:val="0"/>
                <w:numId w:val="44"/>
              </w:numPr>
              <w:spacing w:line="276" w:lineRule="auto"/>
              <w:jc w:val="both"/>
              <w:rPr>
                <w:rFonts w:ascii="Times New Roman" w:hAnsi="Times New Roman"/>
                <w:color w:val="17365D" w:themeColor="text2" w:themeShade="BF"/>
              </w:rPr>
            </w:pPr>
            <w:r w:rsidRPr="003B664B">
              <w:rPr>
                <w:rFonts w:ascii="Times New Roman" w:hAnsi="Times New Roman"/>
                <w:b/>
                <w:color w:val="17365D" w:themeColor="text2" w:themeShade="BF"/>
              </w:rPr>
              <w:t>Operațiune</w:t>
            </w:r>
            <w:r w:rsidRPr="003B664B">
              <w:rPr>
                <w:rFonts w:ascii="Times New Roman" w:hAnsi="Times New Roman"/>
                <w:color w:val="17365D" w:themeColor="text2" w:themeShade="BF"/>
              </w:rPr>
              <w:t xml:space="preserve"> </w:t>
            </w:r>
            <w:r w:rsidR="00362407" w:rsidRPr="003B664B">
              <w:rPr>
                <w:rFonts w:ascii="Times New Roman" w:hAnsi="Times New Roman"/>
                <w:b/>
                <w:color w:val="00B050"/>
              </w:rPr>
              <w:t xml:space="preserve">(Idem </w:t>
            </w:r>
            <w:r w:rsidR="00455D07">
              <w:rPr>
                <w:rFonts w:ascii="Times New Roman" w:hAnsi="Times New Roman"/>
                <w:b/>
                <w:color w:val="00B050"/>
              </w:rPr>
              <w:t>12</w:t>
            </w:r>
            <w:r w:rsidR="00362407" w:rsidRPr="003B664B">
              <w:rPr>
                <w:rFonts w:ascii="Times New Roman" w:hAnsi="Times New Roman"/>
                <w:b/>
                <w:color w:val="00B050"/>
              </w:rPr>
              <w:t>)</w:t>
            </w:r>
          </w:p>
          <w:p w:rsidR="00160079" w:rsidRPr="00160079" w:rsidRDefault="00160079" w:rsidP="00160079">
            <w:pPr>
              <w:jc w:val="both"/>
              <w:rPr>
                <w:rFonts w:ascii="Times New Roman" w:hAnsi="Times New Roman"/>
                <w:color w:val="17365D" w:themeColor="text2" w:themeShade="BF"/>
              </w:rPr>
            </w:pPr>
          </w:p>
        </w:tc>
      </w:tr>
      <w:tr w:rsidR="00160079" w:rsidRPr="00E6419E" w:rsidTr="00160079">
        <w:trPr>
          <w:trHeight w:val="165"/>
        </w:trPr>
        <w:tc>
          <w:tcPr>
            <w:tcW w:w="798" w:type="dxa"/>
            <w:shd w:val="clear" w:color="auto" w:fill="92D050"/>
          </w:tcPr>
          <w:p w:rsidR="00160079" w:rsidRPr="00E6419E" w:rsidRDefault="00160079" w:rsidP="00921CF4">
            <w:pPr>
              <w:jc w:val="both"/>
              <w:rPr>
                <w:rFonts w:ascii="Times New Roman" w:hAnsi="Times New Roman" w:cs="Times New Roman"/>
                <w:b/>
                <w:color w:val="17365D" w:themeColor="text2" w:themeShade="BF"/>
              </w:rPr>
            </w:pPr>
            <w:r>
              <w:rPr>
                <w:rFonts w:ascii="Times New Roman" w:hAnsi="Times New Roman" w:cs="Times New Roman"/>
                <w:b/>
                <w:color w:val="17365D" w:themeColor="text2" w:themeShade="BF"/>
              </w:rPr>
              <w:lastRenderedPageBreak/>
              <w:t>4S91</w:t>
            </w:r>
          </w:p>
        </w:tc>
        <w:tc>
          <w:tcPr>
            <w:tcW w:w="1108" w:type="dxa"/>
            <w:shd w:val="clear" w:color="auto" w:fill="92D050"/>
          </w:tcPr>
          <w:p w:rsidR="00160079" w:rsidRPr="00E6419E" w:rsidRDefault="00160079" w:rsidP="00921CF4">
            <w:pPr>
              <w:jc w:val="both"/>
              <w:rPr>
                <w:rFonts w:ascii="Times New Roman" w:hAnsi="Times New Roman" w:cs="Times New Roman"/>
                <w:b/>
                <w:color w:val="17365D" w:themeColor="text2" w:themeShade="BF"/>
              </w:rPr>
            </w:pPr>
            <w:r>
              <w:rPr>
                <w:rFonts w:ascii="Times New Roman" w:hAnsi="Times New Roman" w:cs="Times New Roman"/>
                <w:b/>
                <w:color w:val="17365D" w:themeColor="text2" w:themeShade="BF"/>
              </w:rPr>
              <w:t>Realizare</w:t>
            </w:r>
          </w:p>
        </w:tc>
        <w:tc>
          <w:tcPr>
            <w:tcW w:w="5177" w:type="dxa"/>
            <w:shd w:val="clear" w:color="auto" w:fill="92D050"/>
          </w:tcPr>
          <w:p w:rsidR="00160079" w:rsidRPr="00E6419E" w:rsidRDefault="00160079" w:rsidP="00160079">
            <w:pPr>
              <w:pStyle w:val="Listparagraf"/>
              <w:tabs>
                <w:tab w:val="left" w:pos="0"/>
              </w:tabs>
              <w:ind w:left="20"/>
              <w:jc w:val="both"/>
              <w:rPr>
                <w:rFonts w:ascii="Times New Roman" w:hAnsi="Times New Roman"/>
                <w:color w:val="17365D" w:themeColor="text2" w:themeShade="BF"/>
              </w:rPr>
            </w:pPr>
            <w:r w:rsidRPr="00E6419E">
              <w:rPr>
                <w:rFonts w:ascii="Times New Roman" w:hAnsi="Times New Roman"/>
                <w:b/>
                <w:color w:val="17365D" w:themeColor="text2" w:themeShade="BF"/>
              </w:rPr>
              <w:t xml:space="preserve">4S91 - </w:t>
            </w:r>
            <w:r w:rsidRPr="00E6419E">
              <w:rPr>
                <w:rFonts w:ascii="Times New Roman" w:hAnsi="Times New Roman"/>
                <w:color w:val="17365D" w:themeColor="text2" w:themeShade="BF"/>
              </w:rPr>
              <w:t>Persoane (elevi) care beneficiază de sprijin pentru participarea la programe de educație (învăţământul primar şi secundar)</w:t>
            </w:r>
          </w:p>
          <w:p w:rsidR="00E2107C" w:rsidRPr="00E6419E" w:rsidRDefault="00E2107C" w:rsidP="00E2107C">
            <w:pPr>
              <w:pStyle w:val="Listparagraf"/>
              <w:numPr>
                <w:ilvl w:val="0"/>
                <w:numId w:val="21"/>
              </w:numPr>
              <w:tabs>
                <w:tab w:val="left" w:pos="0"/>
              </w:tabs>
              <w:ind w:left="303" w:hanging="303"/>
              <w:jc w:val="both"/>
              <w:rPr>
                <w:rFonts w:ascii="Times New Roman" w:hAnsi="Times New Roman"/>
                <w:b/>
                <w:color w:val="17365D" w:themeColor="text2" w:themeShade="BF"/>
              </w:rPr>
            </w:pPr>
            <w:r w:rsidRPr="00E6419E">
              <w:rPr>
                <w:rFonts w:ascii="Times New Roman" w:hAnsi="Times New Roman"/>
                <w:b/>
                <w:color w:val="17365D" w:themeColor="text2" w:themeShade="BF"/>
              </w:rPr>
              <w:t xml:space="preserve">4S91.2 </w:t>
            </w:r>
            <w:r w:rsidRPr="00E6419E">
              <w:rPr>
                <w:rFonts w:ascii="Times New Roman" w:hAnsi="Times New Roman"/>
                <w:color w:val="17365D" w:themeColor="text2" w:themeShade="BF"/>
              </w:rPr>
              <w:t>Persoane (elevi) care beneficiază de sprijin pentru participarea la programe de educație (învăţământul primar şi secundar), din care</w:t>
            </w:r>
            <w:r>
              <w:rPr>
                <w:rFonts w:ascii="Times New Roman" w:hAnsi="Times New Roman"/>
                <w:b/>
                <w:color w:val="17365D" w:themeColor="text2" w:themeShade="BF"/>
              </w:rPr>
              <w:t xml:space="preserve">: </w:t>
            </w:r>
            <w:r w:rsidRPr="00E6419E">
              <w:rPr>
                <w:rFonts w:ascii="Times New Roman" w:hAnsi="Times New Roman"/>
                <w:b/>
                <w:color w:val="17365D" w:themeColor="text2" w:themeShade="BF"/>
              </w:rPr>
              <w:t>Elevi din învățământul gimnazial (11-14 ani)</w:t>
            </w:r>
          </w:p>
          <w:p w:rsidR="00E2107C" w:rsidRPr="00E6419E" w:rsidRDefault="00E2107C" w:rsidP="00E2107C">
            <w:pPr>
              <w:pStyle w:val="Listparagraf"/>
              <w:numPr>
                <w:ilvl w:val="0"/>
                <w:numId w:val="21"/>
              </w:numPr>
              <w:tabs>
                <w:tab w:val="left" w:pos="0"/>
              </w:tabs>
              <w:ind w:left="303" w:hanging="303"/>
              <w:jc w:val="both"/>
              <w:rPr>
                <w:rFonts w:ascii="Times New Roman" w:hAnsi="Times New Roman"/>
                <w:b/>
                <w:color w:val="17365D" w:themeColor="text2" w:themeShade="BF"/>
              </w:rPr>
            </w:pPr>
            <w:r w:rsidRPr="00E6419E">
              <w:rPr>
                <w:rFonts w:ascii="Times New Roman" w:hAnsi="Times New Roman"/>
                <w:b/>
                <w:color w:val="17365D" w:themeColor="text2" w:themeShade="BF"/>
              </w:rPr>
              <w:t xml:space="preserve">4S91.2.1 </w:t>
            </w:r>
            <w:r w:rsidRPr="00E6419E">
              <w:rPr>
                <w:rFonts w:ascii="Times New Roman" w:hAnsi="Times New Roman"/>
                <w:color w:val="17365D" w:themeColor="text2" w:themeShade="BF"/>
              </w:rPr>
              <w:t>Persoane (elevi) care beneficiază de sprijin pentru participarea la programe de educație (învăţământul primar şi secundar), din care</w:t>
            </w:r>
            <w:r>
              <w:rPr>
                <w:rFonts w:ascii="Times New Roman" w:hAnsi="Times New Roman"/>
                <w:b/>
                <w:color w:val="17365D" w:themeColor="text2" w:themeShade="BF"/>
              </w:rPr>
              <w:t xml:space="preserve">: </w:t>
            </w:r>
            <w:r w:rsidRPr="00E6419E">
              <w:rPr>
                <w:rFonts w:ascii="Times New Roman" w:hAnsi="Times New Roman"/>
                <w:i/>
                <w:color w:val="17365D" w:themeColor="text2" w:themeShade="BF"/>
              </w:rPr>
              <w:t xml:space="preserve">Elevi din </w:t>
            </w:r>
            <w:r w:rsidRPr="00E6419E">
              <w:rPr>
                <w:rFonts w:ascii="Times New Roman" w:hAnsi="Times New Roman"/>
                <w:i/>
                <w:color w:val="17365D" w:themeColor="text2" w:themeShade="BF"/>
              </w:rPr>
              <w:lastRenderedPageBreak/>
              <w:t>învățământul gimnazial (11-14 ani),</w:t>
            </w:r>
            <w:r w:rsidRPr="00E6419E">
              <w:rPr>
                <w:rFonts w:ascii="Times New Roman" w:hAnsi="Times New Roman"/>
                <w:b/>
                <w:color w:val="17365D" w:themeColor="text2" w:themeShade="BF"/>
              </w:rPr>
              <w:t xml:space="preserve"> </w:t>
            </w:r>
            <w:r w:rsidRPr="00E6419E">
              <w:rPr>
                <w:rFonts w:ascii="Times New Roman" w:hAnsi="Times New Roman"/>
                <w:color w:val="17365D" w:themeColor="text2" w:themeShade="BF"/>
              </w:rPr>
              <w:t xml:space="preserve">din care: </w:t>
            </w:r>
            <w:r w:rsidRPr="00E6419E">
              <w:rPr>
                <w:rFonts w:ascii="Times New Roman" w:hAnsi="Times New Roman"/>
                <w:b/>
                <w:color w:val="17365D" w:themeColor="text2" w:themeShade="BF"/>
              </w:rPr>
              <w:t>Din zona rurală</w:t>
            </w:r>
          </w:p>
          <w:p w:rsidR="00E2107C" w:rsidRPr="00E6419E" w:rsidRDefault="00E2107C" w:rsidP="00E2107C">
            <w:pPr>
              <w:pStyle w:val="Listparagraf"/>
              <w:numPr>
                <w:ilvl w:val="0"/>
                <w:numId w:val="21"/>
              </w:numPr>
              <w:tabs>
                <w:tab w:val="left" w:pos="0"/>
              </w:tabs>
              <w:ind w:left="303" w:hanging="303"/>
              <w:jc w:val="both"/>
              <w:rPr>
                <w:rFonts w:ascii="Times New Roman" w:hAnsi="Times New Roman"/>
                <w:b/>
                <w:color w:val="17365D" w:themeColor="text2" w:themeShade="BF"/>
              </w:rPr>
            </w:pPr>
            <w:r w:rsidRPr="00E6419E">
              <w:rPr>
                <w:rFonts w:ascii="Times New Roman" w:hAnsi="Times New Roman"/>
                <w:b/>
                <w:color w:val="17365D" w:themeColor="text2" w:themeShade="BF"/>
              </w:rPr>
              <w:t>4S91.2.2</w:t>
            </w:r>
            <w:r w:rsidRPr="00E6419E">
              <w:rPr>
                <w:rFonts w:ascii="Times New Roman" w:hAnsi="Times New Roman"/>
                <w:color w:val="17365D" w:themeColor="text2" w:themeShade="BF"/>
              </w:rPr>
              <w:t xml:space="preserve"> Persoane (elevi) care beneficiază de sprijin pentru participarea la programe de educație (învăţământul primar şi secundar), din care</w:t>
            </w:r>
            <w:r>
              <w:rPr>
                <w:rFonts w:ascii="Times New Roman" w:hAnsi="Times New Roman"/>
                <w:b/>
                <w:color w:val="17365D" w:themeColor="text2" w:themeShade="BF"/>
              </w:rPr>
              <w:t xml:space="preserve">: </w:t>
            </w:r>
            <w:r w:rsidRPr="00E6419E">
              <w:rPr>
                <w:rFonts w:ascii="Times New Roman" w:hAnsi="Times New Roman"/>
                <w:i/>
                <w:color w:val="17365D" w:themeColor="text2" w:themeShade="BF"/>
              </w:rPr>
              <w:t xml:space="preserve">Elevi din învățământul gimnazial (11-14 ani), </w:t>
            </w:r>
            <w:r w:rsidRPr="00E6419E">
              <w:rPr>
                <w:rFonts w:ascii="Times New Roman" w:hAnsi="Times New Roman"/>
                <w:color w:val="17365D" w:themeColor="text2" w:themeShade="BF"/>
              </w:rPr>
              <w:t xml:space="preserve">din care: </w:t>
            </w:r>
            <w:r w:rsidRPr="00E6419E">
              <w:rPr>
                <w:rFonts w:ascii="Times New Roman" w:hAnsi="Times New Roman"/>
                <w:b/>
                <w:color w:val="17365D" w:themeColor="text2" w:themeShade="BF"/>
              </w:rPr>
              <w:t>Roma</w:t>
            </w:r>
          </w:p>
          <w:p w:rsidR="00160079" w:rsidRPr="00E6419E" w:rsidRDefault="00160079" w:rsidP="00921CF4">
            <w:pPr>
              <w:jc w:val="both"/>
              <w:rPr>
                <w:rFonts w:ascii="Times New Roman" w:hAnsi="Times New Roman" w:cs="Times New Roman"/>
                <w:b/>
                <w:color w:val="17365D" w:themeColor="text2" w:themeShade="BF"/>
              </w:rPr>
            </w:pPr>
          </w:p>
        </w:tc>
        <w:tc>
          <w:tcPr>
            <w:tcW w:w="6911" w:type="dxa"/>
            <w:shd w:val="clear" w:color="auto" w:fill="92D050"/>
          </w:tcPr>
          <w:p w:rsidR="00160079" w:rsidRPr="00E6419E" w:rsidRDefault="00160079" w:rsidP="00160079">
            <w:pPr>
              <w:pStyle w:val="Listparagraf"/>
              <w:tabs>
                <w:tab w:val="left" w:pos="507"/>
              </w:tabs>
              <w:ind w:left="82"/>
              <w:jc w:val="both"/>
              <w:rPr>
                <w:rFonts w:ascii="Times New Roman" w:hAnsi="Times New Roman"/>
                <w:color w:val="17365D" w:themeColor="text2" w:themeShade="BF"/>
              </w:rPr>
            </w:pPr>
            <w:r w:rsidRPr="00E6419E">
              <w:rPr>
                <w:rFonts w:ascii="Times New Roman" w:hAnsi="Times New Roman"/>
                <w:color w:val="17365D" w:themeColor="text2" w:themeShade="BF"/>
              </w:rPr>
              <w:lastRenderedPageBreak/>
              <w:t>Acest indicator reprezintă numărul de persoane (elevi) care beneficiază de sprijin pentru participarea la programe</w:t>
            </w:r>
            <w:r w:rsidR="00B71BF3">
              <w:rPr>
                <w:rFonts w:ascii="Times New Roman" w:hAnsi="Times New Roman"/>
                <w:color w:val="17365D" w:themeColor="text2" w:themeShade="BF"/>
              </w:rPr>
              <w:t xml:space="preserve"> de educaţie </w:t>
            </w:r>
            <w:r w:rsidR="00B71BF3" w:rsidRPr="00B71BF3">
              <w:rPr>
                <w:rFonts w:ascii="Times New Roman" w:hAnsi="Times New Roman"/>
                <w:color w:val="17365D" w:themeColor="text2" w:themeShade="BF"/>
                <w:highlight w:val="yellow"/>
              </w:rPr>
              <w:t xml:space="preserve">(învăţământ </w:t>
            </w:r>
            <w:r w:rsidRPr="00B71BF3">
              <w:rPr>
                <w:rFonts w:ascii="Times New Roman" w:hAnsi="Times New Roman"/>
                <w:color w:val="17365D" w:themeColor="text2" w:themeShade="BF"/>
                <w:highlight w:val="yellow"/>
              </w:rPr>
              <w:t>secundar),</w:t>
            </w:r>
            <w:r w:rsidRPr="00E6419E">
              <w:rPr>
                <w:rFonts w:ascii="Times New Roman" w:hAnsi="Times New Roman"/>
                <w:color w:val="17365D" w:themeColor="text2" w:themeShade="BF"/>
              </w:rPr>
              <w:t xml:space="preserve"> au fost sprijinite direct în cadrul </w:t>
            </w:r>
            <w:r w:rsidR="00B71BF3">
              <w:rPr>
                <w:rFonts w:ascii="Times New Roman" w:hAnsi="Times New Roman"/>
                <w:color w:val="17365D" w:themeColor="text2" w:themeShade="BF"/>
                <w:highlight w:val="yellow"/>
              </w:rPr>
              <w:t>Obiectivelor</w:t>
            </w:r>
            <w:r w:rsidRPr="00E2107C">
              <w:rPr>
                <w:rFonts w:ascii="Times New Roman" w:hAnsi="Times New Roman"/>
                <w:color w:val="17365D" w:themeColor="text2" w:themeShade="BF"/>
                <w:highlight w:val="yellow"/>
              </w:rPr>
              <w:t xml:space="preserve"> </w:t>
            </w:r>
            <w:r w:rsidRPr="00B71BF3">
              <w:rPr>
                <w:rFonts w:ascii="Times New Roman" w:hAnsi="Times New Roman"/>
                <w:color w:val="17365D" w:themeColor="text2" w:themeShade="BF"/>
                <w:highlight w:val="yellow"/>
              </w:rPr>
              <w:t>Specifi</w:t>
            </w:r>
            <w:r w:rsidR="00B71BF3">
              <w:rPr>
                <w:rFonts w:ascii="Times New Roman" w:hAnsi="Times New Roman"/>
                <w:color w:val="17365D" w:themeColor="text2" w:themeShade="BF"/>
                <w:highlight w:val="yellow"/>
              </w:rPr>
              <w:t>ce</w:t>
            </w:r>
            <w:r w:rsidRPr="00B71BF3">
              <w:rPr>
                <w:rFonts w:ascii="Times New Roman" w:hAnsi="Times New Roman"/>
                <w:color w:val="17365D" w:themeColor="text2" w:themeShade="BF"/>
                <w:highlight w:val="yellow"/>
              </w:rPr>
              <w:t xml:space="preserve"> 6.</w:t>
            </w:r>
            <w:r w:rsidR="00B71BF3" w:rsidRPr="00B71BF3">
              <w:rPr>
                <w:rFonts w:ascii="Times New Roman" w:hAnsi="Times New Roman"/>
                <w:color w:val="17365D" w:themeColor="text2" w:themeShade="BF"/>
                <w:highlight w:val="yellow"/>
              </w:rPr>
              <w:t>5 si 6.6</w:t>
            </w:r>
            <w:r w:rsidRPr="00E6419E">
              <w:rPr>
                <w:rFonts w:ascii="Times New Roman" w:hAnsi="Times New Roman"/>
                <w:color w:val="17365D" w:themeColor="text2" w:themeShade="BF"/>
              </w:rPr>
              <w:t xml:space="preserve"> şi care, </w:t>
            </w:r>
            <w:r w:rsidRPr="00E6419E">
              <w:rPr>
                <w:rFonts w:ascii="Times New Roman" w:hAnsi="Times New Roman"/>
                <w:b/>
                <w:color w:val="17365D" w:themeColor="text2" w:themeShade="BF"/>
              </w:rPr>
              <w:t>la data intrării în operațiunile FSE</w:t>
            </w:r>
            <w:r w:rsidRPr="00E6419E">
              <w:rPr>
                <w:rFonts w:ascii="Times New Roman" w:hAnsi="Times New Roman"/>
                <w:color w:val="17365D" w:themeColor="text2" w:themeShade="BF"/>
              </w:rPr>
              <w:t>, îndeplinesc cumulativ următoarele criterii:</w:t>
            </w:r>
          </w:p>
          <w:p w:rsidR="00160079" w:rsidRPr="00E6419E" w:rsidRDefault="00160079" w:rsidP="00160079">
            <w:pPr>
              <w:pStyle w:val="Listparagraf"/>
              <w:numPr>
                <w:ilvl w:val="0"/>
                <w:numId w:val="22"/>
              </w:numPr>
              <w:tabs>
                <w:tab w:val="left" w:pos="507"/>
              </w:tabs>
              <w:jc w:val="both"/>
              <w:rPr>
                <w:rFonts w:ascii="Times New Roman" w:hAnsi="Times New Roman"/>
                <w:color w:val="17365D" w:themeColor="text2" w:themeShade="BF"/>
              </w:rPr>
            </w:pPr>
            <w:r w:rsidRPr="00E6419E">
              <w:rPr>
                <w:rFonts w:ascii="Times New Roman" w:hAnsi="Times New Roman"/>
                <w:color w:val="17365D" w:themeColor="text2" w:themeShade="BF"/>
              </w:rPr>
              <w:t>sunt rezidente în una din regiunile de dezvoltare eligibile;</w:t>
            </w:r>
          </w:p>
          <w:p w:rsidR="00160079" w:rsidRPr="00E6419E" w:rsidRDefault="00160079" w:rsidP="00160079">
            <w:pPr>
              <w:pStyle w:val="Listparagraf"/>
              <w:numPr>
                <w:ilvl w:val="0"/>
                <w:numId w:val="22"/>
              </w:numPr>
              <w:tabs>
                <w:tab w:val="left" w:pos="507"/>
              </w:tabs>
              <w:jc w:val="both"/>
              <w:rPr>
                <w:rFonts w:ascii="Times New Roman" w:hAnsi="Times New Roman"/>
                <w:color w:val="17365D" w:themeColor="text2" w:themeShade="BF"/>
              </w:rPr>
            </w:pPr>
            <w:r w:rsidRPr="00E6419E">
              <w:rPr>
                <w:rFonts w:ascii="Times New Roman" w:hAnsi="Times New Roman"/>
                <w:color w:val="17365D" w:themeColor="text2" w:themeShade="BF"/>
              </w:rPr>
              <w:t>sunt elevi în învăţământul gimnazial (11-14 ani).</w:t>
            </w:r>
          </w:p>
          <w:p w:rsidR="00160079" w:rsidRPr="00E6419E" w:rsidRDefault="00160079" w:rsidP="00160079">
            <w:pPr>
              <w:tabs>
                <w:tab w:val="left" w:pos="507"/>
              </w:tabs>
              <w:jc w:val="both"/>
              <w:rPr>
                <w:rFonts w:ascii="Times New Roman" w:hAnsi="Times New Roman" w:cs="Times New Roman"/>
                <w:b/>
                <w:color w:val="FF0000"/>
              </w:rPr>
            </w:pPr>
          </w:p>
          <w:p w:rsidR="00160079" w:rsidRPr="00E6419E" w:rsidRDefault="00160079" w:rsidP="00160079">
            <w:pPr>
              <w:tabs>
                <w:tab w:val="left" w:pos="507"/>
              </w:tabs>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160079" w:rsidRPr="007B7495" w:rsidRDefault="00160079" w:rsidP="00160079">
            <w:pPr>
              <w:pStyle w:val="Listparagraf"/>
              <w:numPr>
                <w:ilvl w:val="0"/>
                <w:numId w:val="36"/>
              </w:numPr>
              <w:tabs>
                <w:tab w:val="left" w:pos="507"/>
              </w:tabs>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t xml:space="preserve">Program educaţional </w:t>
            </w:r>
            <w:r w:rsidRPr="000504AC">
              <w:rPr>
                <w:rStyle w:val="Referinnotdesubsol"/>
                <w:rFonts w:ascii="Times New Roman" w:hAnsi="Times New Roman"/>
                <w:b/>
                <w:color w:val="00B050"/>
              </w:rPr>
              <w:footnoteReference w:id="15"/>
            </w:r>
          </w:p>
          <w:p w:rsidR="00160079" w:rsidRPr="007B7495" w:rsidRDefault="00160079" w:rsidP="00160079">
            <w:pPr>
              <w:pStyle w:val="Listparagraf"/>
              <w:numPr>
                <w:ilvl w:val="0"/>
                <w:numId w:val="36"/>
              </w:numPr>
              <w:tabs>
                <w:tab w:val="left" w:pos="507"/>
              </w:tabs>
              <w:spacing w:line="276" w:lineRule="auto"/>
              <w:jc w:val="both"/>
              <w:rPr>
                <w:rFonts w:ascii="Times New Roman" w:hAnsi="Times New Roman"/>
                <w:b/>
                <w:i/>
                <w:color w:val="17365D" w:themeColor="text2" w:themeShade="BF"/>
              </w:rPr>
            </w:pPr>
            <w:r w:rsidRPr="007B7495">
              <w:rPr>
                <w:rFonts w:ascii="Times New Roman" w:hAnsi="Times New Roman"/>
                <w:b/>
                <w:color w:val="17365D" w:themeColor="text2" w:themeShade="BF"/>
              </w:rPr>
              <w:lastRenderedPageBreak/>
              <w:t xml:space="preserve">Învăţământul secundar inferior sau gimnazial (ISCED 2) </w:t>
            </w:r>
            <w:r w:rsidRPr="000504AC">
              <w:rPr>
                <w:rStyle w:val="Referinnotdesubsol"/>
                <w:rFonts w:ascii="Times New Roman" w:hAnsi="Times New Roman"/>
                <w:b/>
                <w:color w:val="00B050"/>
              </w:rPr>
              <w:footnoteReference w:id="16"/>
            </w:r>
          </w:p>
          <w:p w:rsidR="00160079" w:rsidRPr="007B7495" w:rsidRDefault="00160079" w:rsidP="00160079">
            <w:pPr>
              <w:pStyle w:val="Listparagraf"/>
              <w:numPr>
                <w:ilvl w:val="0"/>
                <w:numId w:val="36"/>
              </w:numPr>
              <w:tabs>
                <w:tab w:val="left" w:pos="507"/>
              </w:tabs>
              <w:spacing w:line="276" w:lineRule="auto"/>
              <w:jc w:val="both"/>
              <w:rPr>
                <w:rFonts w:ascii="Times New Roman" w:hAnsi="Times New Roman"/>
                <w:b/>
                <w:color w:val="17365D" w:themeColor="text2" w:themeShade="BF"/>
              </w:rPr>
            </w:pPr>
            <w:r w:rsidRPr="007B7495">
              <w:rPr>
                <w:rFonts w:ascii="Times New Roman" w:hAnsi="Times New Roman"/>
                <w:b/>
                <w:color w:val="17365D" w:themeColor="text2" w:themeShade="BF"/>
              </w:rPr>
              <w:t xml:space="preserve">Data intrării în operațiunile FSE </w:t>
            </w:r>
            <w:r w:rsidR="00A21359" w:rsidRPr="00A21359">
              <w:rPr>
                <w:rFonts w:ascii="Times New Roman" w:hAnsi="Times New Roman"/>
                <w:b/>
                <w:color w:val="00B050"/>
              </w:rPr>
              <w:t>(Idem 11)</w:t>
            </w:r>
          </w:p>
          <w:p w:rsidR="00160079" w:rsidRPr="007B7495" w:rsidRDefault="00160079" w:rsidP="00160079">
            <w:pPr>
              <w:pStyle w:val="Listparagraf"/>
              <w:numPr>
                <w:ilvl w:val="0"/>
                <w:numId w:val="36"/>
              </w:numPr>
              <w:tabs>
                <w:tab w:val="left" w:pos="507"/>
              </w:tabs>
              <w:spacing w:line="276" w:lineRule="auto"/>
              <w:jc w:val="both"/>
              <w:rPr>
                <w:rFonts w:ascii="Times New Roman" w:hAnsi="Times New Roman"/>
                <w:b/>
                <w:i/>
                <w:color w:val="17365D" w:themeColor="text2" w:themeShade="BF"/>
              </w:rPr>
            </w:pPr>
            <w:r w:rsidRPr="007B7495">
              <w:rPr>
                <w:rFonts w:ascii="Times New Roman" w:hAnsi="Times New Roman"/>
                <w:b/>
                <w:color w:val="17365D" w:themeColor="text2" w:themeShade="BF"/>
              </w:rPr>
              <w:t xml:space="preserve">Operațiune </w:t>
            </w:r>
            <w:r w:rsidR="00F4151F">
              <w:rPr>
                <w:rFonts w:ascii="Times New Roman" w:hAnsi="Times New Roman"/>
                <w:b/>
                <w:color w:val="00B050"/>
              </w:rPr>
              <w:t>(Idem 12</w:t>
            </w:r>
            <w:r w:rsidR="00F4151F" w:rsidRPr="00A21359">
              <w:rPr>
                <w:rFonts w:ascii="Times New Roman" w:hAnsi="Times New Roman"/>
                <w:b/>
                <w:color w:val="00B050"/>
              </w:rPr>
              <w:t>)</w:t>
            </w:r>
          </w:p>
          <w:p w:rsidR="00160079" w:rsidRPr="00E6419E" w:rsidRDefault="00160079" w:rsidP="00160079">
            <w:pPr>
              <w:tabs>
                <w:tab w:val="left" w:pos="507"/>
              </w:tabs>
              <w:jc w:val="both"/>
              <w:rPr>
                <w:rFonts w:ascii="Times New Roman" w:hAnsi="Times New Roman" w:cs="Times New Roman"/>
                <w:color w:val="17365D" w:themeColor="text2" w:themeShade="BF"/>
              </w:rPr>
            </w:pPr>
          </w:p>
          <w:p w:rsidR="00160079" w:rsidRPr="00E6419E" w:rsidRDefault="00160079" w:rsidP="00160079">
            <w:pPr>
              <w:tabs>
                <w:tab w:val="left" w:pos="507"/>
              </w:tabs>
              <w:jc w:val="both"/>
              <w:rPr>
                <w:rFonts w:ascii="Times New Roman" w:hAnsi="Times New Roman" w:cs="Times New Roman"/>
                <w:b/>
                <w:color w:val="FF0000"/>
              </w:rPr>
            </w:pPr>
            <w:r w:rsidRPr="00E6419E">
              <w:rPr>
                <w:rFonts w:ascii="Times New Roman" w:hAnsi="Times New Roman" w:cs="Times New Roman"/>
                <w:b/>
                <w:color w:val="FF0000"/>
              </w:rPr>
              <w:t>DATELE VOR FI COLECTATE, MONITORIZATE ŞI RAPORTATE PENTRU URMĂTOARELE CATEGORII:</w:t>
            </w:r>
          </w:p>
          <w:p w:rsidR="00160079" w:rsidRPr="00E6419E" w:rsidRDefault="00160079" w:rsidP="00160079">
            <w:pPr>
              <w:tabs>
                <w:tab w:val="left" w:pos="507"/>
              </w:tabs>
              <w:jc w:val="both"/>
              <w:rPr>
                <w:rFonts w:ascii="Times New Roman" w:hAnsi="Times New Roman" w:cs="Times New Roman"/>
                <w:color w:val="17365D" w:themeColor="text2" w:themeShade="BF"/>
              </w:rPr>
            </w:pPr>
          </w:p>
          <w:p w:rsidR="00160079" w:rsidRPr="00E2107C" w:rsidRDefault="00160079" w:rsidP="00160079">
            <w:pPr>
              <w:pStyle w:val="Listparagraf"/>
              <w:numPr>
                <w:ilvl w:val="0"/>
                <w:numId w:val="21"/>
              </w:numPr>
              <w:tabs>
                <w:tab w:val="left" w:pos="0"/>
              </w:tabs>
              <w:ind w:left="303" w:hanging="303"/>
              <w:jc w:val="both"/>
              <w:rPr>
                <w:rFonts w:ascii="Times New Roman" w:hAnsi="Times New Roman"/>
                <w:b/>
                <w:color w:val="17365D" w:themeColor="text2" w:themeShade="BF"/>
              </w:rPr>
            </w:pPr>
            <w:r w:rsidRPr="00E6419E">
              <w:rPr>
                <w:rFonts w:ascii="Times New Roman" w:hAnsi="Times New Roman"/>
                <w:b/>
                <w:color w:val="17365D" w:themeColor="text2" w:themeShade="BF"/>
              </w:rPr>
              <w:t xml:space="preserve">4S91.2.1 </w:t>
            </w:r>
            <w:r w:rsidRPr="00E6419E">
              <w:rPr>
                <w:rFonts w:ascii="Times New Roman" w:hAnsi="Times New Roman"/>
                <w:color w:val="17365D" w:themeColor="text2" w:themeShade="BF"/>
              </w:rPr>
              <w:t xml:space="preserve">Persoane (elevi) care beneficiază de sprijin pentru participarea la programe de educație (învăţământul primar şi secundar), din care: Elevi din învățământul gimnazial (11-14 ani), din care: </w:t>
            </w:r>
            <w:r w:rsidR="00F4151F">
              <w:rPr>
                <w:rFonts w:ascii="Times New Roman" w:hAnsi="Times New Roman"/>
                <w:b/>
                <w:color w:val="17365D" w:themeColor="text2" w:themeShade="BF"/>
              </w:rPr>
              <w:t>Din zona rurală</w:t>
            </w:r>
            <w:r w:rsidR="00F4151F" w:rsidRPr="00F4151F">
              <w:rPr>
                <w:rStyle w:val="Referinnotdesubsol"/>
                <w:rFonts w:ascii="Times New Roman" w:hAnsi="Times New Roman"/>
                <w:b/>
                <w:color w:val="00B050"/>
              </w:rPr>
              <w:footnoteReference w:id="17"/>
            </w:r>
          </w:p>
          <w:p w:rsidR="00E2107C" w:rsidRPr="00160079" w:rsidRDefault="00E2107C" w:rsidP="00F4151F">
            <w:pPr>
              <w:pStyle w:val="Listparagraf"/>
              <w:numPr>
                <w:ilvl w:val="0"/>
                <w:numId w:val="21"/>
              </w:numPr>
              <w:tabs>
                <w:tab w:val="left" w:pos="0"/>
              </w:tabs>
              <w:ind w:left="303" w:hanging="303"/>
              <w:jc w:val="both"/>
              <w:rPr>
                <w:rFonts w:ascii="Times New Roman" w:hAnsi="Times New Roman"/>
                <w:b/>
                <w:color w:val="17365D" w:themeColor="text2" w:themeShade="BF"/>
              </w:rPr>
            </w:pPr>
            <w:r w:rsidRPr="00E6419E">
              <w:rPr>
                <w:rFonts w:ascii="Times New Roman" w:hAnsi="Times New Roman"/>
                <w:b/>
                <w:color w:val="17365D" w:themeColor="text2" w:themeShade="BF"/>
              </w:rPr>
              <w:t>4S91.2.2</w:t>
            </w:r>
            <w:r w:rsidRPr="00E6419E">
              <w:rPr>
                <w:rFonts w:ascii="Times New Roman" w:hAnsi="Times New Roman"/>
                <w:color w:val="17365D" w:themeColor="text2" w:themeShade="BF"/>
              </w:rPr>
              <w:t xml:space="preserve"> Persoane (elevi) care beneficiază de sprijin pentru participarea la programe de educație (învăţământul primar şi secundar), din care</w:t>
            </w:r>
            <w:r>
              <w:rPr>
                <w:rFonts w:ascii="Times New Roman" w:hAnsi="Times New Roman"/>
                <w:b/>
                <w:color w:val="17365D" w:themeColor="text2" w:themeShade="BF"/>
              </w:rPr>
              <w:t xml:space="preserve">: </w:t>
            </w:r>
            <w:r w:rsidRPr="00E6419E">
              <w:rPr>
                <w:rFonts w:ascii="Times New Roman" w:hAnsi="Times New Roman"/>
                <w:color w:val="17365D" w:themeColor="text2" w:themeShade="BF"/>
              </w:rPr>
              <w:t>Elevi din învățământul gimnazial (11-14 ani),</w:t>
            </w:r>
            <w:r w:rsidRPr="00E6419E">
              <w:rPr>
                <w:rFonts w:ascii="Times New Roman" w:hAnsi="Times New Roman"/>
                <w:b/>
                <w:color w:val="17365D" w:themeColor="text2" w:themeShade="BF"/>
              </w:rPr>
              <w:t xml:space="preserve"> </w:t>
            </w:r>
            <w:r w:rsidRPr="00E6419E">
              <w:rPr>
                <w:rFonts w:ascii="Times New Roman" w:hAnsi="Times New Roman"/>
                <w:color w:val="17365D" w:themeColor="text2" w:themeShade="BF"/>
              </w:rPr>
              <w:t xml:space="preserve">din care: </w:t>
            </w:r>
            <w:r w:rsidR="00F4151F">
              <w:rPr>
                <w:rFonts w:ascii="Times New Roman" w:hAnsi="Times New Roman"/>
                <w:b/>
                <w:color w:val="17365D" w:themeColor="text2" w:themeShade="BF"/>
              </w:rPr>
              <w:t>Roma</w:t>
            </w:r>
            <w:r w:rsidR="00F4151F" w:rsidRPr="00FA2FE6">
              <w:rPr>
                <w:rStyle w:val="Referinnotdesubsol"/>
                <w:rFonts w:ascii="Times New Roman" w:hAnsi="Times New Roman"/>
                <w:b/>
                <w:color w:val="00B050"/>
              </w:rPr>
              <w:footnoteReference w:id="18"/>
            </w:r>
          </w:p>
        </w:tc>
      </w:tr>
      <w:tr w:rsidR="00160079" w:rsidRPr="00E6419E" w:rsidTr="00160079">
        <w:trPr>
          <w:trHeight w:val="165"/>
        </w:trPr>
        <w:tc>
          <w:tcPr>
            <w:tcW w:w="798" w:type="dxa"/>
            <w:tcBorders>
              <w:bottom w:val="single" w:sz="4" w:space="0" w:color="auto"/>
            </w:tcBorders>
            <w:shd w:val="clear" w:color="auto" w:fill="92D050"/>
          </w:tcPr>
          <w:p w:rsidR="00160079" w:rsidRPr="00E6419E" w:rsidRDefault="00A21359" w:rsidP="00921CF4">
            <w:pPr>
              <w:jc w:val="both"/>
              <w:rPr>
                <w:rFonts w:ascii="Times New Roman" w:hAnsi="Times New Roman" w:cs="Times New Roman"/>
                <w:b/>
                <w:color w:val="17365D" w:themeColor="text2" w:themeShade="BF"/>
              </w:rPr>
            </w:pPr>
            <w:r>
              <w:rPr>
                <w:rFonts w:ascii="Times New Roman" w:hAnsi="Times New Roman" w:cs="Times New Roman"/>
                <w:b/>
                <w:color w:val="17365D" w:themeColor="text2" w:themeShade="BF"/>
              </w:rPr>
              <w:lastRenderedPageBreak/>
              <w:t>4S78</w:t>
            </w:r>
          </w:p>
        </w:tc>
        <w:tc>
          <w:tcPr>
            <w:tcW w:w="1108" w:type="dxa"/>
            <w:tcBorders>
              <w:bottom w:val="single" w:sz="4" w:space="0" w:color="auto"/>
            </w:tcBorders>
            <w:shd w:val="clear" w:color="auto" w:fill="92D050"/>
          </w:tcPr>
          <w:p w:rsidR="00160079" w:rsidRPr="00E6419E" w:rsidRDefault="00A21359" w:rsidP="00921CF4">
            <w:pPr>
              <w:jc w:val="both"/>
              <w:rPr>
                <w:rFonts w:ascii="Times New Roman" w:hAnsi="Times New Roman" w:cs="Times New Roman"/>
                <w:b/>
                <w:color w:val="17365D" w:themeColor="text2" w:themeShade="BF"/>
              </w:rPr>
            </w:pPr>
            <w:r>
              <w:rPr>
                <w:rFonts w:ascii="Times New Roman" w:hAnsi="Times New Roman" w:cs="Times New Roman"/>
                <w:b/>
                <w:color w:val="17365D" w:themeColor="text2" w:themeShade="BF"/>
              </w:rPr>
              <w:t>Rezultat</w:t>
            </w:r>
          </w:p>
        </w:tc>
        <w:tc>
          <w:tcPr>
            <w:tcW w:w="5177" w:type="dxa"/>
            <w:tcBorders>
              <w:bottom w:val="single" w:sz="4" w:space="0" w:color="auto"/>
            </w:tcBorders>
            <w:shd w:val="clear" w:color="auto" w:fill="92D050"/>
          </w:tcPr>
          <w:p w:rsidR="00A21359" w:rsidRDefault="00A21359" w:rsidP="00A21359">
            <w:pPr>
              <w:pStyle w:val="Listparagraf"/>
              <w:ind w:left="20"/>
              <w:jc w:val="both"/>
              <w:rPr>
                <w:rFonts w:ascii="Times New Roman" w:hAnsi="Times New Roman"/>
                <w:color w:val="17365D" w:themeColor="text2" w:themeShade="BF"/>
              </w:rPr>
            </w:pPr>
            <w:r w:rsidRPr="00E6419E">
              <w:rPr>
                <w:rFonts w:ascii="Times New Roman" w:hAnsi="Times New Roman"/>
                <w:b/>
                <w:color w:val="17365D" w:themeColor="text2" w:themeShade="BF"/>
              </w:rPr>
              <w:t xml:space="preserve">4S78 - </w:t>
            </w:r>
            <w:r w:rsidRPr="00E6419E">
              <w:rPr>
                <w:rFonts w:ascii="Times New Roman" w:hAnsi="Times New Roman"/>
                <w:color w:val="17365D" w:themeColor="text2" w:themeShade="BF"/>
              </w:rPr>
              <w:t>Rata de cuprindere a elevilor din învățământul gimnazial (11-14 ani) sprijiniți din FSE</w:t>
            </w:r>
          </w:p>
          <w:p w:rsidR="00B71BF3" w:rsidRPr="00E6419E" w:rsidRDefault="00B71BF3" w:rsidP="00A21359">
            <w:pPr>
              <w:pStyle w:val="Listparagraf"/>
              <w:ind w:left="20"/>
              <w:jc w:val="both"/>
              <w:rPr>
                <w:rFonts w:ascii="Times New Roman" w:hAnsi="Times New Roman"/>
                <w:color w:val="17365D" w:themeColor="text2" w:themeShade="BF"/>
              </w:rPr>
            </w:pPr>
          </w:p>
          <w:p w:rsidR="00A21359" w:rsidRPr="00E6419E" w:rsidRDefault="00A21359" w:rsidP="00A21359">
            <w:pPr>
              <w:pStyle w:val="Listparagraf"/>
              <w:numPr>
                <w:ilvl w:val="0"/>
                <w:numId w:val="27"/>
              </w:numPr>
              <w:tabs>
                <w:tab w:val="left" w:pos="303"/>
              </w:tabs>
              <w:ind w:left="162" w:hanging="162"/>
              <w:jc w:val="both"/>
              <w:rPr>
                <w:rFonts w:ascii="Times New Roman" w:hAnsi="Times New Roman"/>
                <w:color w:val="17365D" w:themeColor="text2" w:themeShade="BF"/>
              </w:rPr>
            </w:pPr>
            <w:r>
              <w:rPr>
                <w:rFonts w:ascii="Times New Roman" w:hAnsi="Times New Roman"/>
                <w:b/>
                <w:color w:val="17365D" w:themeColor="text2" w:themeShade="BF"/>
              </w:rPr>
              <w:t xml:space="preserve">4S78.1 </w:t>
            </w:r>
            <w:r w:rsidRPr="00E6419E">
              <w:rPr>
                <w:rFonts w:ascii="Times New Roman" w:hAnsi="Times New Roman"/>
                <w:color w:val="17365D" w:themeColor="text2" w:themeShade="BF"/>
              </w:rPr>
              <w:t xml:space="preserve">Rata de cuprindere a elevilor din învățământul gimnazial (11-14 ani) sprijiniți din FSE, din care: </w:t>
            </w:r>
            <w:r w:rsidRPr="00E6419E">
              <w:rPr>
                <w:rFonts w:ascii="Times New Roman" w:hAnsi="Times New Roman"/>
                <w:b/>
                <w:color w:val="17365D" w:themeColor="text2" w:themeShade="BF"/>
              </w:rPr>
              <w:t>Din zona rurală</w:t>
            </w:r>
          </w:p>
          <w:p w:rsidR="00A21359" w:rsidRPr="00C1492E" w:rsidRDefault="00A21359" w:rsidP="00A21359">
            <w:pPr>
              <w:pStyle w:val="Listparagraf"/>
              <w:numPr>
                <w:ilvl w:val="0"/>
                <w:numId w:val="27"/>
              </w:numPr>
              <w:tabs>
                <w:tab w:val="left" w:pos="303"/>
              </w:tabs>
              <w:ind w:left="162" w:hanging="162"/>
              <w:jc w:val="both"/>
              <w:rPr>
                <w:rFonts w:ascii="Times New Roman" w:hAnsi="Times New Roman"/>
                <w:color w:val="17365D" w:themeColor="text2" w:themeShade="BF"/>
              </w:rPr>
            </w:pPr>
            <w:r>
              <w:rPr>
                <w:rFonts w:ascii="Times New Roman" w:hAnsi="Times New Roman"/>
                <w:b/>
                <w:color w:val="17365D" w:themeColor="text2" w:themeShade="BF"/>
              </w:rPr>
              <w:t xml:space="preserve">4S78.2 </w:t>
            </w:r>
            <w:r w:rsidRPr="00E6419E">
              <w:rPr>
                <w:rFonts w:ascii="Times New Roman" w:hAnsi="Times New Roman"/>
                <w:color w:val="17365D" w:themeColor="text2" w:themeShade="BF"/>
              </w:rPr>
              <w:t xml:space="preserve">Rata de cuprindere a elevilor din învățământul gimnazial (11-14 ani) sprijiniți din FSE, din care: </w:t>
            </w:r>
            <w:r w:rsidRPr="00E6419E">
              <w:rPr>
                <w:rFonts w:ascii="Times New Roman" w:hAnsi="Times New Roman"/>
                <w:b/>
                <w:color w:val="17365D" w:themeColor="text2" w:themeShade="BF"/>
              </w:rPr>
              <w:t>Roma</w:t>
            </w:r>
          </w:p>
          <w:p w:rsidR="00A21359" w:rsidRDefault="00A21359" w:rsidP="00A21359">
            <w:pPr>
              <w:tabs>
                <w:tab w:val="left" w:pos="303"/>
              </w:tabs>
              <w:jc w:val="both"/>
              <w:rPr>
                <w:rFonts w:ascii="Times New Roman" w:hAnsi="Times New Roman"/>
                <w:color w:val="17365D" w:themeColor="text2" w:themeShade="BF"/>
              </w:rPr>
            </w:pPr>
          </w:p>
          <w:p w:rsidR="00A21359" w:rsidRPr="00B31DF7" w:rsidRDefault="00A21359" w:rsidP="00A21359">
            <w:pPr>
              <w:spacing w:before="120" w:after="120"/>
              <w:jc w:val="both"/>
              <w:rPr>
                <w:rFonts w:ascii="Times New Roman" w:eastAsia="Calibri" w:hAnsi="Times New Roman" w:cs="Times New Roman"/>
                <w:color w:val="17365D" w:themeColor="text2" w:themeShade="BF"/>
              </w:rPr>
            </w:pPr>
            <w:r w:rsidRPr="00B31DF7">
              <w:rPr>
                <w:rFonts w:ascii="Times New Roman" w:hAnsi="Times New Roman" w:cs="Times New Roman"/>
                <w:b/>
                <w:i/>
                <w:color w:val="FF0000"/>
                <w:sz w:val="24"/>
                <w:szCs w:val="24"/>
              </w:rPr>
              <w:lastRenderedPageBreak/>
              <w:t xml:space="preserve">! </w:t>
            </w:r>
            <w:r w:rsidRPr="00B31DF7">
              <w:rPr>
                <w:rFonts w:ascii="Times New Roman" w:eastAsia="Calibri" w:hAnsi="Times New Roman" w:cs="Times New Roman"/>
                <w:i/>
                <w:color w:val="17365D" w:themeColor="text2" w:themeShade="BF"/>
              </w:rPr>
              <w:t>Indicatorul de rezultat pe termen lung</w:t>
            </w:r>
            <w:r w:rsidRPr="00B31DF7">
              <w:rPr>
                <w:rFonts w:ascii="Times New Roman" w:eastAsia="Calibri" w:hAnsi="Times New Roman" w:cs="Times New Roman"/>
                <w:color w:val="17365D" w:themeColor="text2" w:themeShade="BF"/>
              </w:rPr>
              <w:t xml:space="preserve"> </w:t>
            </w:r>
            <w:r w:rsidRPr="00B31DF7">
              <w:rPr>
                <w:rFonts w:ascii="Times New Roman" w:eastAsia="Calibri" w:hAnsi="Times New Roman" w:cs="Times New Roman"/>
                <w:b/>
                <w:i/>
                <w:color w:val="17365D" w:themeColor="text2" w:themeShade="BF"/>
              </w:rPr>
              <w:t>4S7</w:t>
            </w:r>
            <w:r>
              <w:rPr>
                <w:rFonts w:ascii="Times New Roman" w:eastAsia="Calibri" w:hAnsi="Times New Roman" w:cs="Times New Roman"/>
                <w:b/>
                <w:i/>
                <w:color w:val="17365D" w:themeColor="text2" w:themeShade="BF"/>
              </w:rPr>
              <w:t>8</w:t>
            </w:r>
            <w:r w:rsidRPr="00B31DF7">
              <w:rPr>
                <w:rFonts w:ascii="Times New Roman" w:eastAsia="Calibri" w:hAnsi="Times New Roman" w:cs="Times New Roman"/>
                <w:i/>
                <w:color w:val="17365D" w:themeColor="text2" w:themeShade="BF"/>
              </w:rPr>
              <w:t xml:space="preserve"> va fi colectat de OI POCU prin metode calitative, conform prevederilor POCU (raportarea nu intră în sarcina solicitantului).</w:t>
            </w:r>
          </w:p>
          <w:p w:rsidR="00160079" w:rsidRPr="00E6419E" w:rsidRDefault="00160079" w:rsidP="00921CF4">
            <w:pPr>
              <w:jc w:val="both"/>
              <w:rPr>
                <w:rFonts w:ascii="Times New Roman" w:hAnsi="Times New Roman" w:cs="Times New Roman"/>
                <w:b/>
                <w:color w:val="17365D" w:themeColor="text2" w:themeShade="BF"/>
              </w:rPr>
            </w:pPr>
          </w:p>
        </w:tc>
        <w:tc>
          <w:tcPr>
            <w:tcW w:w="6911" w:type="dxa"/>
            <w:tcBorders>
              <w:bottom w:val="single" w:sz="4" w:space="0" w:color="auto"/>
            </w:tcBorders>
            <w:shd w:val="clear" w:color="auto" w:fill="92D050"/>
          </w:tcPr>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r w:rsidRPr="00E6419E">
              <w:rPr>
                <w:rFonts w:ascii="Times New Roman" w:hAnsi="Times New Roman"/>
                <w:color w:val="17365D" w:themeColor="text2" w:themeShade="BF"/>
              </w:rPr>
              <w:lastRenderedPageBreak/>
              <w:t xml:space="preserve">Rata de cuprindere reprezintă ponderea anuală a numărului total al elevilor din învățământul gimnazial care beneficiază de sprijin printr-o operațiune FSE finanțată în cadrul </w:t>
            </w:r>
            <w:r w:rsidRPr="00A21359">
              <w:rPr>
                <w:rFonts w:ascii="Times New Roman" w:hAnsi="Times New Roman"/>
                <w:color w:val="17365D" w:themeColor="text2" w:themeShade="BF"/>
                <w:highlight w:val="yellow"/>
              </w:rPr>
              <w:t>Obiectiv</w:t>
            </w:r>
            <w:r w:rsidR="00B71BF3">
              <w:rPr>
                <w:rFonts w:ascii="Times New Roman" w:hAnsi="Times New Roman"/>
                <w:color w:val="17365D" w:themeColor="text2" w:themeShade="BF"/>
                <w:highlight w:val="yellow"/>
              </w:rPr>
              <w:t>elor</w:t>
            </w:r>
            <w:r w:rsidRPr="00A21359">
              <w:rPr>
                <w:rFonts w:ascii="Times New Roman" w:hAnsi="Times New Roman"/>
                <w:color w:val="17365D" w:themeColor="text2" w:themeShade="BF"/>
                <w:highlight w:val="yellow"/>
              </w:rPr>
              <w:t xml:space="preserve"> Specific</w:t>
            </w:r>
            <w:r w:rsidR="00B71BF3">
              <w:rPr>
                <w:rFonts w:ascii="Times New Roman" w:hAnsi="Times New Roman"/>
                <w:color w:val="17365D" w:themeColor="text2" w:themeShade="BF"/>
                <w:highlight w:val="yellow"/>
              </w:rPr>
              <w:t>e 6.</w:t>
            </w:r>
            <w:r w:rsidR="00B71BF3" w:rsidRPr="00B71BF3">
              <w:rPr>
                <w:rFonts w:ascii="Times New Roman" w:hAnsi="Times New Roman"/>
                <w:color w:val="17365D" w:themeColor="text2" w:themeShade="BF"/>
                <w:highlight w:val="yellow"/>
              </w:rPr>
              <w:t>5 si 6.6</w:t>
            </w:r>
            <w:r w:rsidR="00B71BF3">
              <w:rPr>
                <w:rFonts w:ascii="Times New Roman" w:hAnsi="Times New Roman"/>
                <w:color w:val="17365D" w:themeColor="text2" w:themeShade="BF"/>
              </w:rPr>
              <w:t xml:space="preserve"> </w:t>
            </w:r>
            <w:r w:rsidRPr="00E6419E">
              <w:rPr>
                <w:rFonts w:ascii="Times New Roman" w:hAnsi="Times New Roman"/>
                <w:color w:val="17365D" w:themeColor="text2" w:themeShade="BF"/>
              </w:rPr>
              <w:t xml:space="preserve"> indiferent de nivelul de educaţie primit, din populaţia anuală totală de copii din aceeaşi grupă de vârstă în cursul anului de referință.</w:t>
            </w: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r w:rsidRPr="00E6419E">
              <w:rPr>
                <w:rFonts w:ascii="Times New Roman" w:hAnsi="Times New Roman"/>
                <w:b/>
                <w:color w:val="17365D" w:themeColor="text2" w:themeShade="BF"/>
              </w:rPr>
              <w:t>Sursa</w:t>
            </w:r>
            <w:r w:rsidRPr="00E6419E">
              <w:rPr>
                <w:rFonts w:ascii="Times New Roman" w:hAnsi="Times New Roman"/>
                <w:color w:val="17365D" w:themeColor="text2" w:themeShade="BF"/>
              </w:rPr>
              <w:t xml:space="preserve">: </w:t>
            </w:r>
            <w:r w:rsidRPr="00E6419E">
              <w:rPr>
                <w:rFonts w:ascii="Times New Roman" w:hAnsi="Times New Roman"/>
                <w:i/>
                <w:color w:val="17365D" w:themeColor="text2" w:themeShade="BF"/>
              </w:rPr>
              <w:t>Adaptată după Institutul Naţional  de Statistică</w:t>
            </w: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r w:rsidRPr="00E6419E">
              <w:rPr>
                <w:rFonts w:ascii="Times New Roman" w:hAnsi="Times New Roman"/>
                <w:b/>
                <w:color w:val="17365D" w:themeColor="text2" w:themeShade="BF"/>
              </w:rPr>
              <w:t>Notă:</w:t>
            </w:r>
            <w:r w:rsidRPr="00E6419E">
              <w:rPr>
                <w:rFonts w:ascii="Times New Roman" w:hAnsi="Times New Roman"/>
                <w:color w:val="17365D" w:themeColor="text2" w:themeShade="BF"/>
              </w:rPr>
              <w:t xml:space="preserve"> Pentru indicatorul rata de cuprindere se recomandă a fi considerați în fiecare an, toți copii care beneficiază în cursul anului de referință de sprijin prin FSE în cadrul </w:t>
            </w:r>
            <w:r w:rsidR="00B71BF3" w:rsidRPr="00A21359">
              <w:rPr>
                <w:rFonts w:ascii="Times New Roman" w:hAnsi="Times New Roman"/>
                <w:color w:val="17365D" w:themeColor="text2" w:themeShade="BF"/>
                <w:highlight w:val="yellow"/>
              </w:rPr>
              <w:t>Obiectiv</w:t>
            </w:r>
            <w:r w:rsidR="00B71BF3">
              <w:rPr>
                <w:rFonts w:ascii="Times New Roman" w:hAnsi="Times New Roman"/>
                <w:color w:val="17365D" w:themeColor="text2" w:themeShade="BF"/>
                <w:highlight w:val="yellow"/>
              </w:rPr>
              <w:t>elor</w:t>
            </w:r>
            <w:r w:rsidR="00B71BF3" w:rsidRPr="00A21359">
              <w:rPr>
                <w:rFonts w:ascii="Times New Roman" w:hAnsi="Times New Roman"/>
                <w:color w:val="17365D" w:themeColor="text2" w:themeShade="BF"/>
                <w:highlight w:val="yellow"/>
              </w:rPr>
              <w:t xml:space="preserve"> Specific</w:t>
            </w:r>
            <w:r w:rsidR="00B71BF3">
              <w:rPr>
                <w:rFonts w:ascii="Times New Roman" w:hAnsi="Times New Roman"/>
                <w:color w:val="17365D" w:themeColor="text2" w:themeShade="BF"/>
                <w:highlight w:val="yellow"/>
              </w:rPr>
              <w:t>e 6.</w:t>
            </w:r>
            <w:r w:rsidR="00B71BF3" w:rsidRPr="00B71BF3">
              <w:rPr>
                <w:rFonts w:ascii="Times New Roman" w:hAnsi="Times New Roman"/>
                <w:color w:val="17365D" w:themeColor="text2" w:themeShade="BF"/>
                <w:highlight w:val="yellow"/>
              </w:rPr>
              <w:t>5 si 6.6</w:t>
            </w:r>
            <w:r w:rsidRPr="00E6419E">
              <w:rPr>
                <w:rFonts w:ascii="Times New Roman" w:hAnsi="Times New Roman"/>
                <w:color w:val="17365D" w:themeColor="text2" w:themeShade="BF"/>
              </w:rPr>
              <w:t xml:space="preserve">, indiferent de nivelul de </w:t>
            </w:r>
            <w:r w:rsidRPr="00E6419E">
              <w:rPr>
                <w:rFonts w:ascii="Times New Roman" w:hAnsi="Times New Roman"/>
                <w:color w:val="17365D" w:themeColor="text2" w:themeShade="BF"/>
              </w:rPr>
              <w:lastRenderedPageBreak/>
              <w:t>educație primit. Contabilizarea participanților unici se va face p</w:t>
            </w:r>
            <w:r>
              <w:rPr>
                <w:rFonts w:ascii="Times New Roman" w:hAnsi="Times New Roman"/>
                <w:color w:val="17365D" w:themeColor="text2" w:themeShade="BF"/>
              </w:rPr>
              <w:t xml:space="preserve">rin intermediul indicatorului </w:t>
            </w:r>
            <w:r w:rsidRPr="00126277">
              <w:rPr>
                <w:rFonts w:ascii="Times New Roman" w:hAnsi="Times New Roman"/>
                <w:color w:val="17365D" w:themeColor="text2" w:themeShade="BF"/>
                <w:highlight w:val="yellow"/>
              </w:rPr>
              <w:t>”Persoane (elevi), din care Roma / din mediul rural care beneficiază de sprijin pentru participarea la programe de educație (învăţământul primar şi secundar), din care: Elevi în din învăţământul primar (6-10 ani); Elevi în din învăţământul secundar gimnazial (11-14 ani);  Elevi în din învăţământul secundar superior (15-16 ani)”</w:t>
            </w: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r w:rsidRPr="00362407">
              <w:rPr>
                <w:rFonts w:ascii="Times New Roman" w:hAnsi="Times New Roman"/>
                <w:b/>
                <w:color w:val="17365D" w:themeColor="text2" w:themeShade="BF"/>
              </w:rPr>
              <w:t>Elevii din învăţământul gimnazial</w:t>
            </w:r>
            <w:r w:rsidRPr="00E6419E">
              <w:rPr>
                <w:rFonts w:ascii="Times New Roman" w:hAnsi="Times New Roman"/>
                <w:color w:val="17365D" w:themeColor="text2" w:themeShade="BF"/>
              </w:rPr>
              <w:t xml:space="preserve"> sunt persoane care la data intrării în operațiunile FSE îndeplinesc cumulativ următoarele criterii:</w:t>
            </w:r>
          </w:p>
          <w:p w:rsidR="00A21359" w:rsidRDefault="00A21359" w:rsidP="00A21359">
            <w:pPr>
              <w:pStyle w:val="Listparagraf"/>
              <w:numPr>
                <w:ilvl w:val="0"/>
                <w:numId w:val="38"/>
              </w:numPr>
              <w:tabs>
                <w:tab w:val="left" w:pos="366"/>
              </w:tabs>
              <w:jc w:val="both"/>
              <w:rPr>
                <w:rFonts w:ascii="Times New Roman" w:hAnsi="Times New Roman"/>
                <w:color w:val="17365D" w:themeColor="text2" w:themeShade="BF"/>
              </w:rPr>
            </w:pPr>
            <w:r w:rsidRPr="00E6419E">
              <w:rPr>
                <w:rFonts w:ascii="Times New Roman" w:hAnsi="Times New Roman"/>
                <w:color w:val="17365D" w:themeColor="text2" w:themeShade="BF"/>
              </w:rPr>
              <w:t>sunt rezidenți ai uneia din regiunile de dezvoltare eligibile</w:t>
            </w:r>
            <w:r>
              <w:rPr>
                <w:rFonts w:ascii="Times New Roman" w:hAnsi="Times New Roman"/>
                <w:color w:val="17365D" w:themeColor="text2" w:themeShade="BF"/>
              </w:rPr>
              <w:t>;</w:t>
            </w:r>
          </w:p>
          <w:p w:rsidR="00A21359" w:rsidRPr="007B7495" w:rsidRDefault="00A21359" w:rsidP="00A21359">
            <w:pPr>
              <w:pStyle w:val="Listparagraf"/>
              <w:numPr>
                <w:ilvl w:val="0"/>
                <w:numId w:val="38"/>
              </w:numPr>
              <w:tabs>
                <w:tab w:val="left" w:pos="366"/>
              </w:tabs>
              <w:jc w:val="both"/>
              <w:rPr>
                <w:rFonts w:ascii="Times New Roman" w:hAnsi="Times New Roman"/>
                <w:color w:val="17365D" w:themeColor="text2" w:themeShade="BF"/>
              </w:rPr>
            </w:pPr>
            <w:r w:rsidRPr="007B7495">
              <w:rPr>
                <w:rFonts w:ascii="Times New Roman" w:hAnsi="Times New Roman"/>
                <w:color w:val="17365D" w:themeColor="text2" w:themeShade="BF"/>
              </w:rPr>
              <w:t>au împlinit cel puțin 11 ani și nu au depășit vârsta de 15 ani</w:t>
            </w:r>
            <w:r>
              <w:rPr>
                <w:rFonts w:ascii="Times New Roman" w:hAnsi="Times New Roman"/>
                <w:color w:val="17365D" w:themeColor="text2" w:themeShade="BF"/>
              </w:rPr>
              <w:t>.</w:t>
            </w:r>
          </w:p>
          <w:p w:rsidR="00A21359" w:rsidRPr="00E6419E" w:rsidRDefault="00A21359" w:rsidP="00A21359">
            <w:pPr>
              <w:pStyle w:val="Listparagraf"/>
              <w:tabs>
                <w:tab w:val="left" w:pos="366"/>
              </w:tabs>
              <w:ind w:left="82"/>
              <w:jc w:val="both"/>
              <w:rPr>
                <w:rFonts w:ascii="Times New Roman" w:hAnsi="Times New Roman"/>
                <w:color w:val="17365D" w:themeColor="text2" w:themeShade="BF"/>
              </w:rPr>
            </w:pPr>
          </w:p>
          <w:p w:rsidR="00A21359" w:rsidRPr="00FB7B4A" w:rsidRDefault="00A21359" w:rsidP="00A21359">
            <w:pPr>
              <w:tabs>
                <w:tab w:val="left" w:pos="366"/>
              </w:tabs>
              <w:jc w:val="both"/>
              <w:rPr>
                <w:rFonts w:ascii="Times New Roman" w:hAnsi="Times New Roman" w:cs="Times New Roman"/>
                <w:b/>
                <w:color w:val="FF0000"/>
              </w:rPr>
            </w:pPr>
            <w:r w:rsidRPr="00E6419E">
              <w:rPr>
                <w:rFonts w:ascii="Times New Roman" w:hAnsi="Times New Roman" w:cs="Times New Roman"/>
                <w:b/>
                <w:color w:val="FF0000"/>
              </w:rPr>
              <w:t>EXPLICAȚIILE TERMENILOR</w:t>
            </w:r>
          </w:p>
          <w:p w:rsidR="00A21359" w:rsidRPr="007B7495" w:rsidRDefault="00A21359" w:rsidP="00A21359">
            <w:pPr>
              <w:pStyle w:val="Listparagraf"/>
              <w:numPr>
                <w:ilvl w:val="0"/>
                <w:numId w:val="39"/>
              </w:numPr>
              <w:tabs>
                <w:tab w:val="left" w:pos="366"/>
              </w:tabs>
              <w:jc w:val="both"/>
              <w:rPr>
                <w:rFonts w:ascii="Times New Roman" w:hAnsi="Times New Roman"/>
                <w:b/>
                <w:color w:val="00B050"/>
              </w:rPr>
            </w:pPr>
            <w:r w:rsidRPr="007B7495">
              <w:rPr>
                <w:rFonts w:ascii="Times New Roman" w:hAnsi="Times New Roman"/>
                <w:b/>
                <w:color w:val="17365D" w:themeColor="text2" w:themeShade="BF"/>
              </w:rPr>
              <w:t>Învăţământul secundar inferior sau gimnazial (ISCED 2)</w:t>
            </w:r>
            <w:r w:rsidRPr="007B7495">
              <w:rPr>
                <w:rFonts w:ascii="Times New Roman" w:hAnsi="Times New Roman"/>
                <w:color w:val="17365D" w:themeColor="text2" w:themeShade="BF"/>
              </w:rPr>
              <w:t xml:space="preserve"> </w:t>
            </w:r>
            <w:r w:rsidRPr="007B7495">
              <w:rPr>
                <w:rFonts w:ascii="Times New Roman" w:hAnsi="Times New Roman"/>
                <w:b/>
                <w:color w:val="00B050"/>
              </w:rPr>
              <w:t xml:space="preserve">(Idem </w:t>
            </w:r>
            <w:r>
              <w:rPr>
                <w:rFonts w:ascii="Times New Roman" w:hAnsi="Times New Roman"/>
                <w:b/>
                <w:color w:val="00B050"/>
              </w:rPr>
              <w:t>16</w:t>
            </w:r>
            <w:r w:rsidRPr="007B7495">
              <w:rPr>
                <w:rFonts w:ascii="Times New Roman" w:hAnsi="Times New Roman"/>
                <w:b/>
                <w:color w:val="00B050"/>
              </w:rPr>
              <w:t>)</w:t>
            </w:r>
          </w:p>
          <w:p w:rsidR="00A21359" w:rsidRPr="007B7495" w:rsidRDefault="00A21359" w:rsidP="00A21359">
            <w:pPr>
              <w:pStyle w:val="Listparagraf"/>
              <w:numPr>
                <w:ilvl w:val="0"/>
                <w:numId w:val="39"/>
              </w:numPr>
              <w:tabs>
                <w:tab w:val="left" w:pos="366"/>
              </w:tabs>
              <w:jc w:val="both"/>
              <w:rPr>
                <w:rFonts w:ascii="Times New Roman" w:hAnsi="Times New Roman"/>
                <w:color w:val="17365D" w:themeColor="text2" w:themeShade="BF"/>
              </w:rPr>
            </w:pPr>
            <w:r w:rsidRPr="007B7495">
              <w:rPr>
                <w:rFonts w:ascii="Times New Roman" w:hAnsi="Times New Roman"/>
                <w:b/>
                <w:color w:val="17365D" w:themeColor="text2" w:themeShade="BF"/>
              </w:rPr>
              <w:t>Populația anuală totală de copii din aceeași grupă de vârstă</w:t>
            </w:r>
            <w:r w:rsidR="00FA2FE6" w:rsidRPr="00B71BF3">
              <w:rPr>
                <w:rStyle w:val="Referinnotdesubsol"/>
                <w:rFonts w:ascii="Times New Roman" w:hAnsi="Times New Roman"/>
                <w:b/>
                <w:color w:val="00B050"/>
              </w:rPr>
              <w:footnoteReference w:id="19"/>
            </w:r>
          </w:p>
          <w:p w:rsidR="00A21359" w:rsidRPr="007B7495" w:rsidRDefault="00A21359" w:rsidP="00A21359">
            <w:pPr>
              <w:pStyle w:val="Listparagraf"/>
              <w:numPr>
                <w:ilvl w:val="0"/>
                <w:numId w:val="39"/>
              </w:numPr>
              <w:tabs>
                <w:tab w:val="left" w:pos="366"/>
              </w:tabs>
              <w:jc w:val="both"/>
              <w:rPr>
                <w:rFonts w:ascii="Times New Roman" w:hAnsi="Times New Roman"/>
                <w:color w:val="17365D" w:themeColor="text2" w:themeShade="BF"/>
              </w:rPr>
            </w:pPr>
            <w:r w:rsidRPr="007B7495">
              <w:rPr>
                <w:rFonts w:ascii="Times New Roman" w:hAnsi="Times New Roman"/>
                <w:b/>
                <w:color w:val="17365D" w:themeColor="text2" w:themeShade="BF"/>
              </w:rPr>
              <w:t>Data intrării în operațiunile FSE</w:t>
            </w:r>
            <w:r w:rsidRPr="007B7495">
              <w:rPr>
                <w:rFonts w:ascii="Times New Roman" w:hAnsi="Times New Roman"/>
                <w:color w:val="17365D" w:themeColor="text2" w:themeShade="BF"/>
              </w:rPr>
              <w:t xml:space="preserve"> </w:t>
            </w:r>
            <w:r w:rsidRPr="007B7495">
              <w:rPr>
                <w:rFonts w:ascii="Times New Roman" w:hAnsi="Times New Roman"/>
                <w:b/>
                <w:color w:val="00B050"/>
              </w:rPr>
              <w:t xml:space="preserve">(Idem </w:t>
            </w:r>
            <w:r>
              <w:rPr>
                <w:rFonts w:ascii="Times New Roman" w:hAnsi="Times New Roman"/>
                <w:b/>
                <w:color w:val="00B050"/>
              </w:rPr>
              <w:t>11</w:t>
            </w:r>
            <w:r w:rsidRPr="007B7495">
              <w:rPr>
                <w:rFonts w:ascii="Times New Roman" w:hAnsi="Times New Roman"/>
                <w:b/>
                <w:color w:val="00B050"/>
              </w:rPr>
              <w:t>)</w:t>
            </w:r>
          </w:p>
          <w:p w:rsidR="00A21359" w:rsidRPr="00F4151F" w:rsidRDefault="00A21359" w:rsidP="00F4151F">
            <w:pPr>
              <w:pStyle w:val="Listparagraf"/>
              <w:numPr>
                <w:ilvl w:val="0"/>
                <w:numId w:val="39"/>
              </w:numPr>
              <w:tabs>
                <w:tab w:val="left" w:pos="366"/>
              </w:tabs>
              <w:jc w:val="both"/>
              <w:rPr>
                <w:rFonts w:ascii="Times New Roman" w:hAnsi="Times New Roman"/>
                <w:color w:val="17365D" w:themeColor="text2" w:themeShade="BF"/>
              </w:rPr>
            </w:pPr>
            <w:r w:rsidRPr="007B7495">
              <w:rPr>
                <w:rFonts w:ascii="Times New Roman" w:hAnsi="Times New Roman"/>
                <w:b/>
                <w:color w:val="17365D" w:themeColor="text2" w:themeShade="BF"/>
              </w:rPr>
              <w:t>Operațiune</w:t>
            </w:r>
            <w:r w:rsidRPr="007B7495">
              <w:rPr>
                <w:rFonts w:ascii="Times New Roman" w:hAnsi="Times New Roman"/>
                <w:color w:val="17365D" w:themeColor="text2" w:themeShade="BF"/>
              </w:rPr>
              <w:t xml:space="preserve"> </w:t>
            </w:r>
            <w:r w:rsidRPr="007B7495">
              <w:rPr>
                <w:rFonts w:ascii="Times New Roman" w:hAnsi="Times New Roman"/>
                <w:b/>
                <w:color w:val="00B050"/>
              </w:rPr>
              <w:t xml:space="preserve">(Idem </w:t>
            </w:r>
            <w:r w:rsidR="00F4151F">
              <w:rPr>
                <w:rFonts w:ascii="Times New Roman" w:hAnsi="Times New Roman"/>
                <w:b/>
                <w:color w:val="00B050"/>
              </w:rPr>
              <w:t>12</w:t>
            </w:r>
            <w:r w:rsidRPr="00F4151F">
              <w:rPr>
                <w:rFonts w:ascii="Times New Roman" w:hAnsi="Times New Roman"/>
                <w:b/>
                <w:color w:val="00B050"/>
              </w:rPr>
              <w:t>)</w:t>
            </w:r>
          </w:p>
          <w:p w:rsidR="00A21359" w:rsidRPr="007B7495" w:rsidRDefault="00A21359" w:rsidP="00A21359">
            <w:pPr>
              <w:pStyle w:val="Listparagraf"/>
              <w:tabs>
                <w:tab w:val="left" w:pos="366"/>
              </w:tabs>
              <w:jc w:val="both"/>
              <w:rPr>
                <w:rFonts w:ascii="Times New Roman" w:hAnsi="Times New Roman"/>
                <w:color w:val="17365D" w:themeColor="text2" w:themeShade="BF"/>
              </w:rPr>
            </w:pPr>
          </w:p>
          <w:p w:rsidR="00A21359" w:rsidRPr="00E6419E" w:rsidRDefault="00A21359" w:rsidP="00A21359">
            <w:pPr>
              <w:tabs>
                <w:tab w:val="left" w:pos="366"/>
              </w:tabs>
              <w:jc w:val="both"/>
              <w:rPr>
                <w:rFonts w:ascii="Times New Roman" w:hAnsi="Times New Roman" w:cs="Times New Roman"/>
                <w:b/>
                <w:color w:val="FF0000"/>
              </w:rPr>
            </w:pPr>
            <w:r w:rsidRPr="00E6419E">
              <w:rPr>
                <w:rFonts w:ascii="Times New Roman" w:hAnsi="Times New Roman" w:cs="Times New Roman"/>
                <w:b/>
                <w:color w:val="FF0000"/>
              </w:rPr>
              <w:t>DATELE VOR FI COLECTATE, MONITORIZATE ŞI RAPORTATE PENTRU URMĂTOARELE CATEGORII:</w:t>
            </w:r>
          </w:p>
          <w:p w:rsidR="00B71BF3" w:rsidRPr="00B71BF3" w:rsidRDefault="00A21359" w:rsidP="00A21359">
            <w:pPr>
              <w:pStyle w:val="Listparagraf"/>
              <w:numPr>
                <w:ilvl w:val="0"/>
                <w:numId w:val="27"/>
              </w:numPr>
              <w:tabs>
                <w:tab w:val="left" w:pos="303"/>
              </w:tabs>
              <w:ind w:left="162" w:hanging="162"/>
              <w:jc w:val="both"/>
              <w:rPr>
                <w:rFonts w:ascii="Times New Roman" w:hAnsi="Times New Roman"/>
                <w:color w:val="17365D" w:themeColor="text2" w:themeShade="BF"/>
              </w:rPr>
            </w:pPr>
            <w:r>
              <w:rPr>
                <w:rFonts w:ascii="Times New Roman" w:hAnsi="Times New Roman"/>
                <w:b/>
                <w:color w:val="17365D" w:themeColor="text2" w:themeShade="BF"/>
              </w:rPr>
              <w:t xml:space="preserve">4S78.1 </w:t>
            </w:r>
            <w:r w:rsidRPr="00E6419E">
              <w:rPr>
                <w:rFonts w:ascii="Times New Roman" w:hAnsi="Times New Roman"/>
                <w:color w:val="17365D" w:themeColor="text2" w:themeShade="BF"/>
              </w:rPr>
              <w:t xml:space="preserve">Rata de cuprindere a elevilor din învățământul gimnazial (11-14 ani) sprijiniți din FSE, din care: </w:t>
            </w:r>
            <w:r w:rsidRPr="00E6419E">
              <w:rPr>
                <w:rFonts w:ascii="Times New Roman" w:hAnsi="Times New Roman"/>
                <w:b/>
                <w:color w:val="17365D" w:themeColor="text2" w:themeShade="BF"/>
              </w:rPr>
              <w:t xml:space="preserve">Din zona rurală </w:t>
            </w:r>
            <w:r w:rsidRPr="00362407">
              <w:rPr>
                <w:rFonts w:ascii="Times New Roman" w:hAnsi="Times New Roman"/>
                <w:b/>
                <w:color w:val="00B050"/>
              </w:rPr>
              <w:t xml:space="preserve">(Idem </w:t>
            </w:r>
            <w:r w:rsidR="00B71BF3">
              <w:rPr>
                <w:rFonts w:ascii="Times New Roman" w:hAnsi="Times New Roman"/>
                <w:b/>
                <w:color w:val="00B050"/>
              </w:rPr>
              <w:t>1</w:t>
            </w:r>
            <w:r w:rsidRPr="00362407">
              <w:rPr>
                <w:rFonts w:ascii="Times New Roman" w:hAnsi="Times New Roman"/>
                <w:b/>
                <w:color w:val="00B050"/>
              </w:rPr>
              <w:t>7)</w:t>
            </w:r>
          </w:p>
          <w:p w:rsidR="00160079" w:rsidRPr="00B71BF3" w:rsidRDefault="00A21359" w:rsidP="00A21359">
            <w:pPr>
              <w:pStyle w:val="Listparagraf"/>
              <w:numPr>
                <w:ilvl w:val="0"/>
                <w:numId w:val="27"/>
              </w:numPr>
              <w:tabs>
                <w:tab w:val="left" w:pos="303"/>
              </w:tabs>
              <w:ind w:left="162" w:hanging="162"/>
              <w:jc w:val="both"/>
              <w:rPr>
                <w:rFonts w:ascii="Times New Roman" w:hAnsi="Times New Roman"/>
                <w:color w:val="17365D" w:themeColor="text2" w:themeShade="BF"/>
              </w:rPr>
            </w:pPr>
            <w:r w:rsidRPr="00B71BF3">
              <w:rPr>
                <w:rFonts w:ascii="Times New Roman" w:hAnsi="Times New Roman"/>
                <w:b/>
                <w:color w:val="17365D" w:themeColor="text2" w:themeShade="BF"/>
              </w:rPr>
              <w:t xml:space="preserve">4S78.2 </w:t>
            </w:r>
            <w:r w:rsidRPr="00B71BF3">
              <w:rPr>
                <w:rFonts w:ascii="Times New Roman" w:hAnsi="Times New Roman"/>
                <w:color w:val="17365D" w:themeColor="text2" w:themeShade="BF"/>
              </w:rPr>
              <w:t xml:space="preserve">Rata de cuprindere a elevilor din învățământul gimnazial (11-14 ani) sprijiniți din FSE, din care: </w:t>
            </w:r>
            <w:r w:rsidRPr="00B71BF3">
              <w:rPr>
                <w:rFonts w:ascii="Times New Roman" w:hAnsi="Times New Roman"/>
                <w:b/>
                <w:color w:val="17365D" w:themeColor="text2" w:themeShade="BF"/>
              </w:rPr>
              <w:t xml:space="preserve">Roma </w:t>
            </w:r>
            <w:r w:rsidRPr="00B71BF3">
              <w:rPr>
                <w:rFonts w:ascii="Times New Roman" w:hAnsi="Times New Roman"/>
                <w:b/>
                <w:color w:val="00B050"/>
              </w:rPr>
              <w:t xml:space="preserve">(Idem </w:t>
            </w:r>
            <w:r w:rsidR="00B71BF3">
              <w:rPr>
                <w:rFonts w:ascii="Times New Roman" w:hAnsi="Times New Roman"/>
                <w:b/>
                <w:color w:val="00B050"/>
              </w:rPr>
              <w:t>1</w:t>
            </w:r>
            <w:r w:rsidRPr="00B71BF3">
              <w:rPr>
                <w:rFonts w:ascii="Times New Roman" w:hAnsi="Times New Roman"/>
                <w:b/>
                <w:color w:val="00B050"/>
              </w:rPr>
              <w:t>8)</w:t>
            </w:r>
          </w:p>
        </w:tc>
      </w:tr>
    </w:tbl>
    <w:p w:rsidR="00230DB2" w:rsidRPr="00E6419E" w:rsidRDefault="00230DB2" w:rsidP="008C274B">
      <w:pPr>
        <w:jc w:val="both"/>
        <w:rPr>
          <w:rFonts w:ascii="Times New Roman" w:hAnsi="Times New Roman" w:cs="Times New Roman"/>
          <w:color w:val="17365D" w:themeColor="text2" w:themeShade="BF"/>
        </w:rPr>
      </w:pPr>
    </w:p>
    <w:p w:rsidR="00046A51" w:rsidRPr="00E6419E" w:rsidRDefault="00046A51" w:rsidP="00230DB2">
      <w:pPr>
        <w:tabs>
          <w:tab w:val="left" w:pos="7950"/>
        </w:tabs>
        <w:rPr>
          <w:rFonts w:ascii="Times New Roman" w:hAnsi="Times New Roman" w:cs="Times New Roman"/>
        </w:rPr>
      </w:pPr>
    </w:p>
    <w:sectPr w:rsidR="00046A51" w:rsidRPr="00E6419E"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22E" w:rsidRDefault="00C4722E" w:rsidP="00321234">
      <w:pPr>
        <w:spacing w:after="0" w:line="240" w:lineRule="auto"/>
      </w:pPr>
      <w:r>
        <w:separator/>
      </w:r>
    </w:p>
  </w:endnote>
  <w:endnote w:type="continuationSeparator" w:id="0">
    <w:p w:rsidR="00C4722E" w:rsidRDefault="00C4722E"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b/>
      </w:rPr>
    </w:sdtEndPr>
    <w:sdtContent>
      <w:p w:rsidR="00F860C5" w:rsidRPr="000A046E" w:rsidRDefault="00F860C5">
        <w:pPr>
          <w:pStyle w:val="Subsol"/>
          <w:jc w:val="right"/>
          <w:rPr>
            <w:b/>
          </w:rPr>
        </w:pPr>
        <w:r w:rsidRPr="000A046E">
          <w:rPr>
            <w:b/>
          </w:rPr>
          <w:fldChar w:fldCharType="begin"/>
        </w:r>
        <w:r w:rsidRPr="000A046E">
          <w:rPr>
            <w:b/>
          </w:rPr>
          <w:instrText>PAGE   \* MERGEFORMAT</w:instrText>
        </w:r>
        <w:r w:rsidRPr="000A046E">
          <w:rPr>
            <w:b/>
          </w:rPr>
          <w:fldChar w:fldCharType="separate"/>
        </w:r>
        <w:r w:rsidR="00170087">
          <w:rPr>
            <w:b/>
            <w:noProof/>
          </w:rPr>
          <w:t>2</w:t>
        </w:r>
        <w:r w:rsidRPr="000A046E">
          <w:rPr>
            <w:b/>
          </w:rPr>
          <w:fldChar w:fldCharType="end"/>
        </w:r>
      </w:p>
    </w:sdtContent>
  </w:sdt>
  <w:p w:rsidR="00F860C5" w:rsidRDefault="00F860C5" w:rsidP="00AE3D62">
    <w:pPr>
      <w:pStyle w:val="Subsol"/>
      <w:jc w:val="center"/>
      <w:rPr>
        <w:rFonts w:ascii="Calibri" w:hAnsi="Calibri"/>
        <w:b/>
        <w:i/>
        <w:color w:val="1F4E79"/>
      </w:rPr>
    </w:pPr>
  </w:p>
  <w:p w:rsidR="00F860C5" w:rsidRPr="00E6419E" w:rsidRDefault="00F860C5" w:rsidP="00AE3D62">
    <w:pPr>
      <w:pStyle w:val="Subsol"/>
      <w:jc w:val="center"/>
      <w:rPr>
        <w:rFonts w:ascii="Times New Roman" w:hAnsi="Times New Roman" w:cs="Times New Roman"/>
        <w:b/>
        <w:i/>
        <w:color w:val="1F4E79"/>
      </w:rPr>
    </w:pPr>
    <w:r w:rsidRPr="00E6419E">
      <w:rPr>
        <w:rFonts w:ascii="Times New Roman" w:hAnsi="Times New Roman" w:cs="Times New Roman"/>
        <w:b/>
        <w:i/>
        <w:color w:val="1F4E79"/>
      </w:rPr>
      <w:t>Ghidul solicitantului – condiții specifice</w:t>
    </w:r>
  </w:p>
  <w:p w:rsidR="00374AA3" w:rsidRPr="00E6419E" w:rsidRDefault="00F860C5" w:rsidP="00AE3D62">
    <w:pPr>
      <w:pStyle w:val="Subsol"/>
      <w:jc w:val="center"/>
      <w:rPr>
        <w:rFonts w:ascii="Times New Roman" w:hAnsi="Times New Roman" w:cs="Times New Roman"/>
        <w:b/>
        <w:i/>
        <w:color w:val="1F4E79"/>
      </w:rPr>
    </w:pPr>
    <w:r w:rsidRPr="00E6419E">
      <w:rPr>
        <w:rFonts w:ascii="Times New Roman" w:hAnsi="Times New Roman" w:cs="Times New Roman"/>
        <w:b/>
        <w:i/>
        <w:color w:val="1F4E79"/>
      </w:rPr>
      <w:t>”</w:t>
    </w:r>
    <w:r w:rsidR="00374AA3" w:rsidRPr="00E6419E">
      <w:rPr>
        <w:rFonts w:ascii="Times New Roman" w:hAnsi="Times New Roman" w:cs="Times New Roman"/>
        <w:b/>
        <w:i/>
        <w:color w:val="1F4E79"/>
      </w:rPr>
      <w:t xml:space="preserve">Măsuri integrate de prevenire a părăsirii timpurii a școlii </w:t>
    </w:r>
  </w:p>
  <w:p w:rsidR="00F860C5" w:rsidRPr="00E6419E" w:rsidRDefault="00374AA3" w:rsidP="00AE3D62">
    <w:pPr>
      <w:pStyle w:val="Subsol"/>
      <w:jc w:val="center"/>
      <w:rPr>
        <w:rFonts w:ascii="Times New Roman" w:hAnsi="Times New Roman" w:cs="Times New Roman"/>
      </w:rPr>
    </w:pPr>
    <w:r w:rsidRPr="00E6419E">
      <w:rPr>
        <w:rFonts w:ascii="Times New Roman" w:hAnsi="Times New Roman" w:cs="Times New Roman"/>
        <w:b/>
        <w:i/>
        <w:color w:val="1F4E79"/>
      </w:rPr>
      <w:t>(inclusiv prin dezvoltare de curriculum la decizia scolii si formare de personal didactic)</w:t>
    </w:r>
    <w:r w:rsidR="00F860C5" w:rsidRPr="00E6419E">
      <w:rPr>
        <w:rFonts w:ascii="Times New Roman" w:hAnsi="Times New Roman" w:cs="Times New Roman"/>
        <w:b/>
        <w:i/>
        <w:color w:val="1F4E79"/>
      </w:rPr>
      <w:t>”</w:t>
    </w:r>
  </w:p>
  <w:p w:rsidR="00F860C5" w:rsidRPr="00E6419E" w:rsidRDefault="00F860C5">
    <w:pPr>
      <w:pStyle w:val="Subsol"/>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22E" w:rsidRDefault="00C4722E" w:rsidP="00321234">
      <w:pPr>
        <w:spacing w:after="0" w:line="240" w:lineRule="auto"/>
      </w:pPr>
      <w:r>
        <w:separator/>
      </w:r>
    </w:p>
  </w:footnote>
  <w:footnote w:type="continuationSeparator" w:id="0">
    <w:p w:rsidR="00C4722E" w:rsidRDefault="00C4722E" w:rsidP="00321234">
      <w:pPr>
        <w:spacing w:after="0" w:line="240" w:lineRule="auto"/>
      </w:pPr>
      <w:r>
        <w:continuationSeparator/>
      </w:r>
    </w:p>
  </w:footnote>
  <w:footnote w:id="1">
    <w:p w:rsidR="00362407" w:rsidRPr="0064620D" w:rsidRDefault="00362407" w:rsidP="007B7495">
      <w:pPr>
        <w:spacing w:after="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00A26E07" w:rsidRPr="0064620D">
        <w:rPr>
          <w:rFonts w:ascii="Times New Roman" w:hAnsi="Times New Roman" w:cs="Times New Roman"/>
          <w:b/>
          <w:color w:val="17365D" w:themeColor="text2" w:themeShade="BF"/>
          <w:sz w:val="20"/>
          <w:szCs w:val="20"/>
        </w:rPr>
        <w:t>„</w:t>
      </w:r>
      <w:r w:rsidRPr="0064620D">
        <w:rPr>
          <w:rFonts w:ascii="Times New Roman" w:hAnsi="Times New Roman" w:cs="Times New Roman"/>
          <w:b/>
          <w:color w:val="17365D" w:themeColor="text2" w:themeShade="BF"/>
          <w:sz w:val="20"/>
          <w:szCs w:val="20"/>
        </w:rPr>
        <w:t>Ofertă educațională”</w:t>
      </w:r>
      <w:r w:rsidRPr="0064620D">
        <w:rPr>
          <w:rFonts w:ascii="Times New Roman" w:hAnsi="Times New Roman" w:cs="Times New Roman"/>
          <w:color w:val="17365D" w:themeColor="text2" w:themeShade="BF"/>
          <w:sz w:val="20"/>
          <w:szCs w:val="20"/>
        </w:rPr>
        <w:t xml:space="preserve"> reprezintă seturi de abordări curriculare pentru învățământul primar, gimnazial și liceal inferior (ex. curriculum național, CDS, auxiliare pe arii curriculare).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Programul Operațional Capital Uman 2014-2020</w:t>
      </w:r>
    </w:p>
  </w:footnote>
  <w:footnote w:id="2">
    <w:p w:rsidR="00362407" w:rsidRPr="0064620D" w:rsidRDefault="00362407" w:rsidP="007B7495">
      <w:pPr>
        <w:spacing w:before="240" w:after="0" w:line="240" w:lineRule="auto"/>
        <w:jc w:val="both"/>
        <w:rPr>
          <w:rFonts w:ascii="Times New Roman" w:hAnsi="Times New Roman" w:cs="Times New Roman"/>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 xml:space="preserve">„Curriculumul naţional” </w:t>
      </w:r>
      <w:r w:rsidRPr="0064620D">
        <w:rPr>
          <w:rFonts w:ascii="Times New Roman" w:hAnsi="Times New Roman" w:cs="Times New Roman"/>
          <w:color w:val="17365D" w:themeColor="text2" w:themeShade="BF"/>
          <w:sz w:val="20"/>
          <w:szCs w:val="20"/>
        </w:rPr>
        <w:t>reprezintă ansamblul coerent al planurilor-cadru de învăţământ şi al programelor şcolare din învăţământul preuniversitar.</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Curriculumul naţional pentru învăţământul primar, gimnazial şi secundar superior se axează pe opt arii cheie de competenţe care determină profilul de formare a elevului:</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a) competenţe de comunicare în limba română şi în limba maternă, în cazul minorităţilor naţionale;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b) competenţe de comunicare în limbi străine;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c) competenţe de bază de matematică, ştiinţe şi tehnologie;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d) competenţe digitale de utilizare a tehnologiei informaţiei ca instrument de învăţare şi cunoaştere;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e) competenţe sociale şi civice;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f) competenţe antreprenoriale; </w:t>
      </w:r>
    </w:p>
    <w:p w:rsidR="00362407" w:rsidRPr="0064620D" w:rsidRDefault="00362407"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g) competenţe de sensibilizare şi de expresie culturală; </w:t>
      </w:r>
    </w:p>
    <w:p w:rsidR="00362407" w:rsidRPr="0064620D" w:rsidRDefault="00362407" w:rsidP="007B7495">
      <w:pPr>
        <w:spacing w:after="0" w:line="240" w:lineRule="auto"/>
        <w:jc w:val="both"/>
        <w:rPr>
          <w:rFonts w:ascii="Times New Roman" w:hAnsi="Times New Roman" w:cs="Times New Roman"/>
          <w:sz w:val="20"/>
          <w:szCs w:val="20"/>
        </w:rPr>
      </w:pPr>
      <w:r w:rsidRPr="0064620D">
        <w:rPr>
          <w:rFonts w:ascii="Times New Roman" w:hAnsi="Times New Roman" w:cs="Times New Roman"/>
          <w:color w:val="17365D" w:themeColor="text2" w:themeShade="BF"/>
          <w:sz w:val="20"/>
          <w:szCs w:val="20"/>
        </w:rPr>
        <w:t>h) competenţa de a învăţa să înveţi.</w:t>
      </w:r>
    </w:p>
  </w:footnote>
  <w:footnote w:id="3">
    <w:p w:rsidR="00362407" w:rsidRPr="0064620D" w:rsidRDefault="00362407" w:rsidP="007B7495">
      <w:pPr>
        <w:spacing w:before="24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„Competenţele cheie“</w:t>
      </w:r>
      <w:r w:rsidRPr="0064620D">
        <w:rPr>
          <w:rFonts w:ascii="Times New Roman" w:hAnsi="Times New Roman" w:cs="Times New Roman"/>
          <w:color w:val="17365D" w:themeColor="text2" w:themeShade="BF"/>
          <w:sz w:val="20"/>
          <w:szCs w:val="20"/>
        </w:rPr>
        <w:t xml:space="preserve"> cuprind cunoştinţe, abilităţi şi aptitudini care vor ajuta persoanele care învaţă să aibă realizări personale şi, ulterior, să găsească un loc de muncă şi să se integreze în societate. Aceste competenţe cheie includ abilităţi „tradiţionale” cum ar fi comunicare în limba maternă, în limbi străine, abilităţi digitale, competenţe şi abilităţi elementare în matematică şi ştiinţă, precum şi abilităţi orizontale cum ar fi învăţarea pentru a învăţa, responsabilitatea socială şi civică, iniţiativa şi antreprenoriatul, cunoaşterea culturală şi creativitatea.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Comisia Europeană</w:t>
      </w:r>
    </w:p>
  </w:footnote>
  <w:footnote w:id="4">
    <w:p w:rsidR="00362407" w:rsidRPr="0064620D" w:rsidRDefault="00362407" w:rsidP="007B7495">
      <w:pPr>
        <w:spacing w:before="24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„Soluţii digitale/tip TIC”</w:t>
      </w:r>
      <w:r w:rsidRPr="0064620D">
        <w:rPr>
          <w:rFonts w:ascii="Times New Roman" w:hAnsi="Times New Roman" w:cs="Times New Roman"/>
          <w:color w:val="17365D" w:themeColor="text2" w:themeShade="BF"/>
          <w:sz w:val="20"/>
          <w:szCs w:val="20"/>
        </w:rPr>
        <w:t xml:space="preserve"> reprezintă furnizarea şi sprijinirea unor programe educaţionale cu ajutorul unor noi tehnologii multimedia şi al internetului pentru îmbunătăţirea accesului la şi calitatea învăţării.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 xml:space="preserve">Glosar de termeni tehnici folosiți în învățământul tehnic și profesional din România - </w:t>
      </w:r>
      <w:hyperlink r:id="rId1" w:history="1">
        <w:r w:rsidRPr="0064620D">
          <w:rPr>
            <w:rStyle w:val="Hyperlink"/>
            <w:rFonts w:ascii="Times New Roman" w:hAnsi="Times New Roman" w:cs="Times New Roman"/>
            <w:i/>
            <w:sz w:val="20"/>
            <w:szCs w:val="20"/>
          </w:rPr>
          <w:t>http://www.tvet.ro/Anexe/x/Glossary%20Eng-Rom.pdf</w:t>
        </w:r>
      </w:hyperlink>
      <w:r w:rsidRPr="0064620D">
        <w:rPr>
          <w:rFonts w:ascii="Times New Roman" w:hAnsi="Times New Roman" w:cs="Times New Roman"/>
          <w:color w:val="17365D" w:themeColor="text2" w:themeShade="BF"/>
          <w:sz w:val="20"/>
          <w:szCs w:val="20"/>
        </w:rPr>
        <w:t xml:space="preserve"> </w:t>
      </w:r>
    </w:p>
  </w:footnote>
  <w:footnote w:id="5">
    <w:p w:rsidR="000504AC" w:rsidRPr="0064620D" w:rsidRDefault="000504AC" w:rsidP="007B7495">
      <w:pPr>
        <w:spacing w:before="24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„Curriculum la decizia şcolii”</w:t>
      </w:r>
      <w:r w:rsidRPr="0064620D">
        <w:rPr>
          <w:rFonts w:ascii="Times New Roman" w:hAnsi="Times New Roman" w:cs="Times New Roman"/>
          <w:color w:val="17365D" w:themeColor="text2" w:themeShade="BF"/>
          <w:sz w:val="20"/>
          <w:szCs w:val="20"/>
        </w:rPr>
        <w:t xml:space="preserve"> se constituie atât din pachete disciplinare opţionale ofertate la nivel naţional, regional şi local, cât şi din pachete disciplinare opţionale ofertate la nivelul unităţii de învăţământ.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 xml:space="preserve">Legea educației naționale 1/2011, cu modificările și completările ulterioare </w:t>
      </w:r>
    </w:p>
  </w:footnote>
  <w:footnote w:id="6">
    <w:p w:rsidR="000504AC" w:rsidRPr="0064620D" w:rsidRDefault="000504AC" w:rsidP="000504AC">
      <w:pPr>
        <w:spacing w:before="24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”Personalul din învăţământul preuniversitar”</w:t>
      </w:r>
      <w:r w:rsidRPr="0064620D">
        <w:rPr>
          <w:rFonts w:ascii="Times New Roman" w:hAnsi="Times New Roman" w:cs="Times New Roman"/>
          <w:color w:val="17365D" w:themeColor="text2" w:themeShade="BF"/>
          <w:sz w:val="20"/>
          <w:szCs w:val="20"/>
        </w:rPr>
        <w:t xml:space="preserve"> este format din personal didactic, personal didactic auxiliar şi personal administrativ sau nedidactic.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Legea educației naționale 1/2011, cu modificările și completările ulterioare</w:t>
      </w:r>
    </w:p>
  </w:footnote>
  <w:footnote w:id="7">
    <w:p w:rsidR="000504AC" w:rsidRDefault="000504AC" w:rsidP="007B7495">
      <w:pPr>
        <w:spacing w:after="0" w:line="240" w:lineRule="auto"/>
        <w:jc w:val="both"/>
        <w:rPr>
          <w:rFonts w:ascii="Times New Roman" w:hAnsi="Times New Roman" w:cs="Times New Roman"/>
          <w:i/>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”Personalul didactic”</w:t>
      </w:r>
      <w:r w:rsidRPr="0064620D">
        <w:rPr>
          <w:rFonts w:ascii="Times New Roman" w:hAnsi="Times New Roman" w:cs="Times New Roman"/>
          <w:color w:val="17365D" w:themeColor="text2" w:themeShade="BF"/>
          <w:sz w:val="20"/>
          <w:szCs w:val="20"/>
        </w:rPr>
        <w:t xml:space="preserve"> cuprinde persoanele din sistemul de învăţământ responsabile cu instruirea şi educaţia.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Legea educației naționale 1/2011, cu modificările și completările ulterioare</w:t>
      </w:r>
    </w:p>
    <w:p w:rsidR="00455D07" w:rsidRPr="0064620D" w:rsidRDefault="00455D07" w:rsidP="007B7495">
      <w:pPr>
        <w:spacing w:after="0" w:line="240" w:lineRule="auto"/>
        <w:jc w:val="both"/>
        <w:rPr>
          <w:rFonts w:ascii="Times New Roman" w:hAnsi="Times New Roman" w:cs="Times New Roman"/>
          <w:sz w:val="20"/>
          <w:szCs w:val="20"/>
        </w:rPr>
      </w:pPr>
    </w:p>
  </w:footnote>
  <w:footnote w:id="8">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”Personalul didactic auxiliar”</w:t>
      </w:r>
      <w:r w:rsidRPr="0064620D">
        <w:rPr>
          <w:rFonts w:ascii="Times New Roman" w:hAnsi="Times New Roman" w:cs="Times New Roman"/>
          <w:color w:val="17365D" w:themeColor="text2" w:themeShade="BF"/>
          <w:sz w:val="20"/>
          <w:szCs w:val="20"/>
        </w:rPr>
        <w:t xml:space="preserve"> este format din: a) bibliotecar, documentarist, redactor; b) informatician; c) laborant; d) tehnician; e) pedagog şcolar; f) instructor de educaţie extraşcolară; g) asistent social; h) corepetitor; i) mediator şcolar; j) secretar; k) administrator financiar (contabil); l) instructor-animator; m) administrator de patrimoniu.</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Legea educației naționale 1/2011, cu modificările și completările ulterioare</w:t>
      </w:r>
    </w:p>
    <w:p w:rsidR="000504AC" w:rsidRPr="0064620D" w:rsidRDefault="000504AC" w:rsidP="007B7495">
      <w:pPr>
        <w:pStyle w:val="Textnotdesubsol"/>
        <w:spacing w:line="240" w:lineRule="auto"/>
        <w:rPr>
          <w:rFonts w:ascii="Times New Roman" w:hAnsi="Times New Roman" w:cs="Times New Roman"/>
        </w:rPr>
      </w:pPr>
    </w:p>
  </w:footnote>
  <w:footnote w:id="9">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b/>
          <w:color w:val="17365D" w:themeColor="text2" w:themeShade="BF"/>
          <w:sz w:val="20"/>
          <w:szCs w:val="20"/>
        </w:rPr>
        <w:t>„Programele de formare“:</w:t>
      </w:r>
      <w:r w:rsidRPr="0064620D">
        <w:rPr>
          <w:rFonts w:ascii="Times New Roman" w:hAnsi="Times New Roman" w:cs="Times New Roman"/>
          <w:color w:val="17365D" w:themeColor="text2" w:themeShade="BF"/>
          <w:sz w:val="20"/>
          <w:szCs w:val="20"/>
        </w:rPr>
        <w:t xml:space="preserve">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a) actualizarea şi dezvoltarea competenţelor în domeniul de specializare corespunzător funcţiei didactice ocupate, precum şi în domeniul psihopedagogic şi metodic;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b) dezvoltarea competenţelor pentru evoluţia în cariera didactică, prin sistemul de pregătire şi obţinere a gradelor didactice;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c) dobândirea sau dezvoltarea competenţelor de conducere, de îndrumare şi de control;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d) dobândirea de noi competenţe, prin programe de conversie pentru noi specializări şi/sau ocuparea de noi funcţii didactice, altele decât cele ocupate în baza formării iniţiale;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 </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rsidR="000504AC" w:rsidRPr="0064620D" w:rsidRDefault="000504AC" w:rsidP="007B7495">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Legea educației naționale 1/2011, cu modificările și completările ulterioare</w:t>
      </w:r>
    </w:p>
    <w:p w:rsidR="000504AC" w:rsidRPr="0064620D" w:rsidRDefault="000504AC" w:rsidP="007B7495">
      <w:pPr>
        <w:pStyle w:val="Textnotdesubsol"/>
        <w:spacing w:line="240" w:lineRule="auto"/>
        <w:rPr>
          <w:rFonts w:ascii="Times New Roman" w:hAnsi="Times New Roman" w:cs="Times New Roman"/>
        </w:rPr>
      </w:pPr>
    </w:p>
  </w:footnote>
  <w:footnote w:id="10">
    <w:p w:rsidR="000504AC" w:rsidRDefault="000504AC" w:rsidP="00FB7B4A">
      <w:pPr>
        <w:spacing w:after="0" w:line="240" w:lineRule="auto"/>
        <w:jc w:val="both"/>
        <w:rPr>
          <w:rFonts w:ascii="Times New Roman" w:hAnsi="Times New Roman" w:cs="Times New Roman"/>
          <w:i/>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„Schimburi de bune practici”</w:t>
      </w:r>
      <w:r w:rsidRPr="0064620D">
        <w:rPr>
          <w:rFonts w:ascii="Times New Roman" w:hAnsi="Times New Roman" w:cs="Times New Roman"/>
          <w:color w:val="17365D" w:themeColor="text2" w:themeShade="BF"/>
          <w:sz w:val="20"/>
          <w:szCs w:val="20"/>
        </w:rPr>
        <w:t xml:space="preserve"> reprezintă schimburi prin care se promovează exemple de metode de lucru acceptate şi promovate ca fiind bune de utilizat în special în anumite situaţii.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 xml:space="preserve">Glosar de termeni tehnici folosiți în învățământul tehnic și profesional din România - </w:t>
      </w:r>
      <w:hyperlink r:id="rId2" w:history="1">
        <w:r w:rsidRPr="0064620D">
          <w:rPr>
            <w:rStyle w:val="Hyperlink"/>
            <w:rFonts w:ascii="Times New Roman" w:hAnsi="Times New Roman" w:cs="Times New Roman"/>
            <w:i/>
            <w:sz w:val="20"/>
            <w:szCs w:val="20"/>
          </w:rPr>
          <w:t>http://www.tvet.ro/Anexe/x/Glossary%20Eng-Rom.pdf</w:t>
        </w:r>
      </w:hyperlink>
      <w:r w:rsidRPr="0064620D">
        <w:rPr>
          <w:rFonts w:ascii="Times New Roman" w:hAnsi="Times New Roman" w:cs="Times New Roman"/>
          <w:i/>
          <w:color w:val="17365D" w:themeColor="text2" w:themeShade="BF"/>
          <w:sz w:val="20"/>
          <w:szCs w:val="20"/>
        </w:rPr>
        <w:t xml:space="preserve"> </w:t>
      </w:r>
    </w:p>
    <w:p w:rsidR="005104B9" w:rsidRPr="0064620D" w:rsidRDefault="005104B9" w:rsidP="00FB7B4A">
      <w:pPr>
        <w:spacing w:after="0" w:line="240" w:lineRule="auto"/>
        <w:jc w:val="both"/>
        <w:rPr>
          <w:rFonts w:ascii="Times New Roman" w:hAnsi="Times New Roman" w:cs="Times New Roman"/>
        </w:rPr>
      </w:pPr>
    </w:p>
  </w:footnote>
  <w:footnote w:id="11">
    <w:p w:rsidR="005104B9" w:rsidRDefault="005104B9" w:rsidP="00455D07">
      <w:pPr>
        <w:pStyle w:val="Textnotdesubsol"/>
        <w:ind w:left="0" w:firstLine="0"/>
        <w:rPr>
          <w:rFonts w:ascii="Times New Roman" w:hAnsi="Times New Roman" w:cs="Times New Roman"/>
          <w:i/>
          <w:color w:val="17365D" w:themeColor="text2" w:themeShade="BF"/>
        </w:rPr>
      </w:pPr>
      <w:r>
        <w:rPr>
          <w:rStyle w:val="Referinnotdesubsol"/>
        </w:rPr>
        <w:footnoteRef/>
      </w:r>
      <w:r>
        <w:t xml:space="preserve"> </w:t>
      </w:r>
      <w:r w:rsidRPr="0064620D">
        <w:rPr>
          <w:rFonts w:ascii="Times New Roman" w:hAnsi="Times New Roman" w:cs="Times New Roman"/>
          <w:b/>
          <w:color w:val="17365D" w:themeColor="text2" w:themeShade="BF"/>
        </w:rPr>
        <w:t>„Data intrării în operațiunile FSE”</w:t>
      </w:r>
      <w:r w:rsidRPr="0064620D">
        <w:rPr>
          <w:rFonts w:ascii="Times New Roman" w:hAnsi="Times New Roman" w:cs="Times New Roman"/>
          <w:color w:val="17365D" w:themeColor="text2" w:themeShade="BF"/>
        </w:rPr>
        <w:t xml:space="preserve"> reprezintă „data la care persoana a beneficiat prima dată de sprijinul oferit prin operaţiune”.  </w:t>
      </w:r>
      <w:r w:rsidRPr="0064620D">
        <w:rPr>
          <w:rFonts w:ascii="Times New Roman" w:hAnsi="Times New Roman" w:cs="Times New Roman"/>
          <w:b/>
          <w:color w:val="17365D" w:themeColor="text2" w:themeShade="BF"/>
        </w:rPr>
        <w:t>Sursa:</w:t>
      </w:r>
      <w:r w:rsidRPr="0064620D">
        <w:rPr>
          <w:rFonts w:ascii="Times New Roman" w:hAnsi="Times New Roman" w:cs="Times New Roman"/>
          <w:color w:val="17365D" w:themeColor="text2" w:themeShade="BF"/>
        </w:rPr>
        <w:t xml:space="preserve"> </w:t>
      </w:r>
      <w:r w:rsidRPr="0064620D">
        <w:rPr>
          <w:rFonts w:ascii="Times New Roman" w:hAnsi="Times New Roman" w:cs="Times New Roman"/>
          <w:i/>
          <w:color w:val="17365D" w:themeColor="text2" w:themeShade="BF"/>
        </w:rPr>
        <w:t>Anexa D – Orientare practică privind colectarea şi validarea datelor din orientările Comisiei Europene</w:t>
      </w:r>
    </w:p>
    <w:p w:rsidR="005104B9" w:rsidRPr="005104B9" w:rsidRDefault="005104B9">
      <w:pPr>
        <w:pStyle w:val="Textnotdesubsol"/>
        <w:rPr>
          <w:lang w:val="en-US"/>
        </w:rPr>
      </w:pPr>
    </w:p>
  </w:footnote>
  <w:footnote w:id="12">
    <w:p w:rsidR="005104B9" w:rsidRDefault="005104B9" w:rsidP="00455D07">
      <w:pPr>
        <w:pStyle w:val="Textnotdesubsol"/>
        <w:ind w:left="0" w:firstLine="0"/>
        <w:jc w:val="both"/>
        <w:rPr>
          <w:rFonts w:ascii="Times New Roman" w:hAnsi="Times New Roman" w:cs="Times New Roman"/>
          <w:i/>
          <w:color w:val="17365D" w:themeColor="text2" w:themeShade="BF"/>
        </w:rPr>
      </w:pPr>
      <w:r>
        <w:rPr>
          <w:rStyle w:val="Referinnotdesubsol"/>
        </w:rPr>
        <w:footnoteRef/>
      </w:r>
      <w:r>
        <w:t xml:space="preserve"> </w:t>
      </w:r>
      <w:r w:rsidRPr="0064620D">
        <w:rPr>
          <w:rFonts w:ascii="Times New Roman" w:hAnsi="Times New Roman" w:cs="Times New Roman"/>
          <w:b/>
          <w:color w:val="17365D" w:themeColor="text2" w:themeShade="BF"/>
        </w:rPr>
        <w:t>”Operațiune”</w:t>
      </w:r>
      <w:r w:rsidRPr="0064620D">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Pr="0064620D">
        <w:rPr>
          <w:rFonts w:ascii="Times New Roman" w:hAnsi="Times New Roman" w:cs="Times New Roman"/>
          <w:b/>
          <w:color w:val="17365D" w:themeColor="text2" w:themeShade="BF"/>
        </w:rPr>
        <w:t xml:space="preserve">Sursa: </w:t>
      </w:r>
      <w:r w:rsidRPr="0064620D">
        <w:rPr>
          <w:rFonts w:ascii="Times New Roman" w:hAnsi="Times New Roman" w:cs="Times New Roman"/>
          <w:i/>
          <w:color w:val="17365D" w:themeColor="text2" w:themeShade="BF"/>
        </w:rPr>
        <w:t>Regulament (UE) Nr. 1303/2013 al Parlamentului European și al Consiliului din 17 decembrie 2013 de stabilire a unor dispoziții comune</w:t>
      </w:r>
    </w:p>
    <w:p w:rsidR="005104B9" w:rsidRPr="005104B9" w:rsidRDefault="005104B9">
      <w:pPr>
        <w:pStyle w:val="Textnotdesubsol"/>
        <w:rPr>
          <w:lang w:val="en-US"/>
        </w:rPr>
      </w:pPr>
    </w:p>
  </w:footnote>
  <w:footnote w:id="13">
    <w:p w:rsidR="000504AC" w:rsidRPr="0064620D" w:rsidRDefault="000504AC" w:rsidP="003B664B">
      <w:pPr>
        <w:spacing w:after="0" w:line="240" w:lineRule="auto"/>
        <w:jc w:val="both"/>
        <w:rPr>
          <w:rFonts w:ascii="Times New Roman" w:hAnsi="Times New Roman" w:cs="Times New Roman"/>
          <w:color w:val="17365D" w:themeColor="text2" w:themeShade="BF"/>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”Competenţele profesionale”</w:t>
      </w:r>
      <w:r w:rsidRPr="0064620D">
        <w:rPr>
          <w:rFonts w:ascii="Times New Roman" w:hAnsi="Times New Roman" w:cs="Times New Roman"/>
          <w:color w:val="17365D" w:themeColor="text2" w:themeShade="BF"/>
          <w:sz w:val="20"/>
          <w:szCs w:val="20"/>
        </w:rPr>
        <w:t xml:space="preserve"> reprezintă ansamblul unitar şi dinamic al cunoştinţelor şi abilităţilor. Sistemul de competenţe cuprinde cinci categorii fundamentale: a) competenţe profesionale: competenţe cognitive, competenţe funcţional-acţionale; </w:t>
      </w:r>
    </w:p>
    <w:p w:rsidR="000504AC" w:rsidRPr="0064620D" w:rsidRDefault="000504AC" w:rsidP="003B664B">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b) competenţe complementare: competenţe digitale, competenţe lingvistice, competenţe de consiliere; </w:t>
      </w:r>
    </w:p>
    <w:p w:rsidR="000504AC" w:rsidRPr="0064620D" w:rsidRDefault="000504AC" w:rsidP="003B664B">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c) competenţe transversale: competenţe de rol, competenţe de dezvoltare personală şi profesională; </w:t>
      </w:r>
    </w:p>
    <w:p w:rsidR="000504AC" w:rsidRPr="0064620D" w:rsidRDefault="000504AC" w:rsidP="003B664B">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 xml:space="preserve">d) competenţe de conducere, de îndrumare şi de control; </w:t>
      </w:r>
    </w:p>
    <w:p w:rsidR="000504AC" w:rsidRPr="0064620D" w:rsidRDefault="000504AC" w:rsidP="003B664B">
      <w:pPr>
        <w:spacing w:after="0" w:line="240" w:lineRule="auto"/>
        <w:jc w:val="both"/>
        <w:rPr>
          <w:rFonts w:ascii="Times New Roman" w:hAnsi="Times New Roman" w:cs="Times New Roman"/>
          <w:color w:val="17365D" w:themeColor="text2" w:themeShade="BF"/>
          <w:sz w:val="20"/>
          <w:szCs w:val="20"/>
        </w:rPr>
      </w:pPr>
      <w:r w:rsidRPr="0064620D">
        <w:rPr>
          <w:rFonts w:ascii="Times New Roman" w:hAnsi="Times New Roman" w:cs="Times New Roman"/>
          <w:color w:val="17365D" w:themeColor="text2" w:themeShade="BF"/>
          <w:sz w:val="20"/>
          <w:szCs w:val="20"/>
        </w:rPr>
        <w:t>e) competenţe dobândite prin programe de conversie profesională.</w:t>
      </w:r>
    </w:p>
    <w:p w:rsidR="000504AC" w:rsidRPr="0064620D" w:rsidRDefault="000504AC" w:rsidP="003B664B">
      <w:pPr>
        <w:spacing w:after="0" w:line="240" w:lineRule="auto"/>
        <w:jc w:val="both"/>
        <w:rPr>
          <w:rFonts w:ascii="Times New Roman" w:hAnsi="Times New Roman" w:cs="Times New Roman"/>
        </w:rPr>
      </w:pP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Metodologia privind formarea continuă a personalului din învăţământul preuniversitar din 07.10.2011, cu modificările și completările ulterioare</w:t>
      </w:r>
    </w:p>
  </w:footnote>
  <w:footnote w:id="14">
    <w:p w:rsidR="000504AC" w:rsidRPr="0064620D" w:rsidRDefault="000504AC" w:rsidP="00FB7B4A">
      <w:pPr>
        <w:spacing w:before="240" w:line="240" w:lineRule="auto"/>
        <w:jc w:val="both"/>
        <w:rPr>
          <w:rFonts w:ascii="Times New Roman" w:hAnsi="Times New Roman" w:cs="Times New Roman"/>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„Certificarea”</w:t>
      </w:r>
      <w:r w:rsidRPr="0064620D">
        <w:rPr>
          <w:rFonts w:ascii="Times New Roman" w:hAnsi="Times New Roman" w:cs="Times New Roman"/>
          <w:color w:val="17365D" w:themeColor="text2" w:themeShade="BF"/>
          <w:sz w:val="20"/>
          <w:szCs w:val="20"/>
        </w:rPr>
        <w:t xml:space="preserve"> reprezintă procesul de recunoaştere şi înregistrare oficială a realizării şi a competenţei persoanelor care au studiat prin furnizarea unei dovezi documentare. În acest caz acordarea certificatului de competenţă se bazează pe evaluarea a ceea ce candidatul ştie să facă în condiţii reale de muncă.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 xml:space="preserve">Glosar de termeni tehnici folosiți în învățământul tehnic și profesional din România - </w:t>
      </w:r>
      <w:hyperlink r:id="rId3" w:history="1">
        <w:r w:rsidRPr="0064620D">
          <w:rPr>
            <w:rStyle w:val="Hyperlink"/>
            <w:rFonts w:ascii="Times New Roman" w:hAnsi="Times New Roman" w:cs="Times New Roman"/>
            <w:i/>
            <w:sz w:val="20"/>
            <w:szCs w:val="20"/>
          </w:rPr>
          <w:t>http://www.tvet.ro/Anexe/x/Glossary%20Eng-Rom.pdf</w:t>
        </w:r>
      </w:hyperlink>
      <w:r w:rsidRPr="0064620D">
        <w:rPr>
          <w:rFonts w:ascii="Times New Roman" w:hAnsi="Times New Roman" w:cs="Times New Roman"/>
          <w:i/>
          <w:color w:val="17365D" w:themeColor="text2" w:themeShade="BF"/>
          <w:sz w:val="20"/>
          <w:szCs w:val="20"/>
        </w:rPr>
        <w:t xml:space="preserve"> si Metodologia privind formarea continuă a personalului din învăţământul preuniversitar din 07.10.2011, cu modificările și completările ulterioare</w:t>
      </w:r>
    </w:p>
  </w:footnote>
  <w:footnote w:id="15">
    <w:p w:rsidR="00160079" w:rsidRPr="0064620D" w:rsidRDefault="00160079" w:rsidP="00160079">
      <w:pPr>
        <w:tabs>
          <w:tab w:val="left" w:pos="507"/>
        </w:tabs>
        <w:spacing w:after="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„Program educaţional“</w:t>
      </w:r>
      <w:r w:rsidRPr="0064620D">
        <w:rPr>
          <w:rFonts w:ascii="Times New Roman" w:hAnsi="Times New Roman" w:cs="Times New Roman"/>
          <w:color w:val="17365D" w:themeColor="text2" w:themeShade="BF"/>
          <w:sz w:val="20"/>
          <w:szCs w:val="20"/>
        </w:rPr>
        <w:t xml:space="preserve"> este un program scris de instituţia sau ministerul educaţiei care stabileşte programul de învăţare pentru fiecare materie în toate etapele de educaţie formală. Mai exact, stabileşte pentru fiecare arie de dezvoltare, disciplină, domeniul de studiu / modulul de pregătire din planul de învăţământ, finalităţile urmărite şi evidenţiază conţinuturile fundamentale de ordin teoretic, experimental şi aplicativ, oferind orientări metodologice generale pentru realizarea şi evaluarea acestora. </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Legea educației naționale 1/2011, cu modificările și completările ulterioare</w:t>
      </w:r>
    </w:p>
  </w:footnote>
  <w:footnote w:id="16">
    <w:p w:rsidR="00160079" w:rsidRPr="0064620D" w:rsidRDefault="00160079" w:rsidP="00F4151F">
      <w:pPr>
        <w:tabs>
          <w:tab w:val="left" w:pos="507"/>
        </w:tabs>
        <w:spacing w:before="240" w:after="0" w:line="240" w:lineRule="auto"/>
        <w:jc w:val="both"/>
        <w:rPr>
          <w:rFonts w:ascii="Times New Roman" w:hAnsi="Times New Roman" w:cs="Times New Roman"/>
          <w:sz w:val="20"/>
          <w:szCs w:val="20"/>
        </w:rPr>
      </w:pPr>
      <w:r w:rsidRPr="0064620D">
        <w:rPr>
          <w:rStyle w:val="Referinnotdesubsol"/>
          <w:rFonts w:ascii="Times New Roman" w:hAnsi="Times New Roman" w:cs="Times New Roman"/>
          <w:sz w:val="20"/>
          <w:szCs w:val="20"/>
        </w:rPr>
        <w:footnoteRef/>
      </w:r>
      <w:r w:rsidRPr="0064620D">
        <w:rPr>
          <w:rFonts w:ascii="Times New Roman" w:hAnsi="Times New Roman" w:cs="Times New Roman"/>
          <w:sz w:val="20"/>
          <w:szCs w:val="20"/>
        </w:rPr>
        <w:t xml:space="preserve"> </w:t>
      </w:r>
      <w:r w:rsidRPr="0064620D">
        <w:rPr>
          <w:rFonts w:ascii="Times New Roman" w:hAnsi="Times New Roman" w:cs="Times New Roman"/>
          <w:b/>
          <w:color w:val="17365D" w:themeColor="text2" w:themeShade="BF"/>
          <w:sz w:val="20"/>
          <w:szCs w:val="20"/>
        </w:rPr>
        <w:t xml:space="preserve"> „Învăţământul secundar inferior sau gimnazial”</w:t>
      </w:r>
      <w:r w:rsidRPr="0064620D">
        <w:rPr>
          <w:rFonts w:ascii="Times New Roman" w:hAnsi="Times New Roman" w:cs="Times New Roman"/>
          <w:color w:val="17365D" w:themeColor="text2" w:themeShade="BF"/>
          <w:sz w:val="20"/>
          <w:szCs w:val="20"/>
        </w:rPr>
        <w:t xml:space="preserve"> (ISCED 2): participarea la acest nivel de învățământ durează minim 4 ani (cuprinde clasele V-VIII); acesta asigură educaţia generală a elevilor cu vârsta între 11 şi 15 ani. Învăţământul gimnazial se organizează şi funcţionează, de regulă, cu program de dimineaţă.</w:t>
      </w:r>
      <w:r w:rsidRPr="0064620D">
        <w:rPr>
          <w:rFonts w:ascii="Times New Roman" w:hAnsi="Times New Roman" w:cs="Times New Roman"/>
          <w:b/>
          <w:color w:val="17365D" w:themeColor="text2" w:themeShade="BF"/>
          <w:sz w:val="20"/>
          <w:szCs w:val="20"/>
        </w:rPr>
        <w:t>Sursa:</w:t>
      </w:r>
      <w:r w:rsidRPr="0064620D">
        <w:rPr>
          <w:rFonts w:ascii="Times New Roman" w:hAnsi="Times New Roman" w:cs="Times New Roman"/>
          <w:color w:val="17365D" w:themeColor="text2" w:themeShade="BF"/>
          <w:sz w:val="20"/>
          <w:szCs w:val="20"/>
        </w:rPr>
        <w:t xml:space="preserve"> </w:t>
      </w:r>
      <w:r w:rsidRPr="0064620D">
        <w:rPr>
          <w:rFonts w:ascii="Times New Roman" w:hAnsi="Times New Roman" w:cs="Times New Roman"/>
          <w:i/>
          <w:color w:val="17365D" w:themeColor="text2" w:themeShade="BF"/>
          <w:sz w:val="20"/>
          <w:szCs w:val="20"/>
        </w:rPr>
        <w:t>Institutul Național de Statistică și Legea educației naționale 1/2011, cu modificările și completările ulterioare</w:t>
      </w:r>
    </w:p>
  </w:footnote>
  <w:footnote w:id="17">
    <w:p w:rsidR="00F4151F" w:rsidRPr="00F4151F" w:rsidRDefault="00F4151F" w:rsidP="00F4151F">
      <w:pPr>
        <w:pStyle w:val="Textnotdesubsol"/>
        <w:jc w:val="both"/>
        <w:rPr>
          <w:lang w:val="en-US"/>
        </w:rPr>
      </w:pPr>
      <w:r>
        <w:rPr>
          <w:rStyle w:val="Referinnotdesubsol"/>
        </w:rPr>
        <w:footnoteRef/>
      </w:r>
      <w:r>
        <w:t xml:space="preserve"> </w:t>
      </w:r>
      <w:r w:rsidRPr="0064620D">
        <w:rPr>
          <w:rFonts w:ascii="Times New Roman" w:hAnsi="Times New Roman" w:cs="Times New Roman"/>
          <w:b/>
          <w:color w:val="17365D" w:themeColor="text2" w:themeShade="BF"/>
        </w:rPr>
        <w:t>Din zona rurală -</w:t>
      </w:r>
      <w:r w:rsidRPr="0064620D">
        <w:rPr>
          <w:rFonts w:ascii="Times New Roman" w:hAnsi="Times New Roman" w:cs="Times New Roman"/>
          <w:color w:val="17365D" w:themeColor="text2" w:themeShade="BF"/>
        </w:rPr>
        <w:t xml:space="preserve"> Persoane care locuiesc în zonele rurale (sat / comună) conform Legii 351/2001 privind aprobarea Planului de amenajare a teritoriului naţional - Secţiunea IV, Reţeaua de localităţi, Anexa I</w:t>
      </w:r>
    </w:p>
  </w:footnote>
  <w:footnote w:id="18">
    <w:p w:rsidR="00F4151F" w:rsidRPr="00F4151F" w:rsidRDefault="00F4151F">
      <w:pPr>
        <w:pStyle w:val="Textnotdesubsol"/>
        <w:rPr>
          <w:lang w:val="en-US"/>
        </w:rPr>
      </w:pPr>
      <w:r>
        <w:rPr>
          <w:rStyle w:val="Referinnotdesubsol"/>
        </w:rPr>
        <w:footnoteRef/>
      </w:r>
      <w:r>
        <w:t xml:space="preserve"> </w:t>
      </w:r>
      <w:r w:rsidRPr="0064620D">
        <w:rPr>
          <w:rFonts w:ascii="Times New Roman" w:hAnsi="Times New Roman" w:cs="Times New Roman"/>
          <w:b/>
          <w:color w:val="17365D" w:themeColor="text2" w:themeShade="BF"/>
        </w:rPr>
        <w:t xml:space="preserve">Roma - </w:t>
      </w:r>
      <w:r w:rsidRPr="0064620D">
        <w:rPr>
          <w:rFonts w:ascii="Times New Roman" w:hAnsi="Times New Roman" w:cs="Times New Roman"/>
          <w:color w:val="17365D" w:themeColor="text2" w:themeShade="BF"/>
        </w:rPr>
        <w:t>Persoane care sunt declarate de părinte, tutore sau reprezentant legal ca aparţinând minorităţilor de etnie romă şi care îndeplinesc cumulativ criteriile stabilite în cadrul definiţiei generale.</w:t>
      </w:r>
      <w:r>
        <w:rPr>
          <w:rFonts w:ascii="Times New Roman" w:hAnsi="Times New Roman" w:cs="Times New Roman"/>
          <w:color w:val="17365D" w:themeColor="text2" w:themeShade="BF"/>
        </w:rPr>
        <w:t xml:space="preserve"> </w:t>
      </w:r>
    </w:p>
  </w:footnote>
  <w:footnote w:id="19">
    <w:p w:rsidR="00FA2FE6" w:rsidRPr="00FA2FE6" w:rsidRDefault="00FA2FE6">
      <w:pPr>
        <w:pStyle w:val="Textnotdesubsol"/>
        <w:rPr>
          <w:lang w:val="en-US"/>
        </w:rPr>
      </w:pPr>
      <w:r>
        <w:rPr>
          <w:rStyle w:val="Referinnotdesubsol"/>
        </w:rPr>
        <w:footnoteRef/>
      </w:r>
      <w:r>
        <w:t xml:space="preserve"> </w:t>
      </w:r>
      <w:r w:rsidRPr="0064620D">
        <w:rPr>
          <w:rFonts w:ascii="Times New Roman" w:hAnsi="Times New Roman" w:cs="Times New Roman"/>
          <w:b/>
          <w:color w:val="17365D" w:themeColor="text2" w:themeShade="BF"/>
        </w:rPr>
        <w:t xml:space="preserve">”Populația anuală totală de copii din aceeași grupă de vârstă” </w:t>
      </w:r>
      <w:r w:rsidRPr="0064620D">
        <w:rPr>
          <w:rFonts w:ascii="Times New Roman" w:hAnsi="Times New Roman" w:cs="Times New Roman"/>
          <w:color w:val="17365D" w:themeColor="text2" w:themeShade="BF"/>
        </w:rPr>
        <w:t>este numărul total de copii înscriși în învățământul primar.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D71"/>
      </v:shape>
    </w:pict>
  </w:numPicBullet>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2DD7735"/>
    <w:multiLevelType w:val="hybridMultilevel"/>
    <w:tmpl w:val="FDAA0482"/>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
    <w:nsid w:val="04D34AF0"/>
    <w:multiLevelType w:val="hybridMultilevel"/>
    <w:tmpl w:val="4C886E0C"/>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
    <w:nsid w:val="060761A9"/>
    <w:multiLevelType w:val="hybridMultilevel"/>
    <w:tmpl w:val="DC926D16"/>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nsid w:val="0CC5020A"/>
    <w:multiLevelType w:val="hybridMultilevel"/>
    <w:tmpl w:val="CA163FCA"/>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5">
    <w:nsid w:val="0D065C1B"/>
    <w:multiLevelType w:val="hybridMultilevel"/>
    <w:tmpl w:val="953236F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60F6F7B"/>
    <w:multiLevelType w:val="hybridMultilevel"/>
    <w:tmpl w:val="21BA4B36"/>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8">
    <w:nsid w:val="1D784B97"/>
    <w:multiLevelType w:val="hybridMultilevel"/>
    <w:tmpl w:val="6570CED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3B57EB"/>
    <w:multiLevelType w:val="hybridMultilevel"/>
    <w:tmpl w:val="222C431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28021AE2"/>
    <w:multiLevelType w:val="hybridMultilevel"/>
    <w:tmpl w:val="F672322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5B356E"/>
    <w:multiLevelType w:val="hybridMultilevel"/>
    <w:tmpl w:val="C20A72A4"/>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5">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39B05D32"/>
    <w:multiLevelType w:val="hybridMultilevel"/>
    <w:tmpl w:val="3F98386A"/>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7">
    <w:nsid w:val="3AEB1002"/>
    <w:multiLevelType w:val="hybridMultilevel"/>
    <w:tmpl w:val="B016D266"/>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8">
    <w:nsid w:val="3D482D97"/>
    <w:multiLevelType w:val="hybridMultilevel"/>
    <w:tmpl w:val="582023E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741A22"/>
    <w:multiLevelType w:val="hybridMultilevel"/>
    <w:tmpl w:val="6CD6A5EA"/>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0">
    <w:nsid w:val="441B0FF1"/>
    <w:multiLevelType w:val="hybridMultilevel"/>
    <w:tmpl w:val="94F0681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630542"/>
    <w:multiLevelType w:val="hybridMultilevel"/>
    <w:tmpl w:val="CB02C096"/>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3">
    <w:nsid w:val="492B29AC"/>
    <w:multiLevelType w:val="hybridMultilevel"/>
    <w:tmpl w:val="C0B6BD8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952BE2"/>
    <w:multiLevelType w:val="hybridMultilevel"/>
    <w:tmpl w:val="5AC2175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0B5FB9"/>
    <w:multiLevelType w:val="hybridMultilevel"/>
    <w:tmpl w:val="1CC88D3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65D96"/>
    <w:multiLevelType w:val="hybridMultilevel"/>
    <w:tmpl w:val="28C8F40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7">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9">
    <w:nsid w:val="53244B56"/>
    <w:multiLevelType w:val="hybridMultilevel"/>
    <w:tmpl w:val="DB527D1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127255"/>
    <w:multiLevelType w:val="hybridMultilevel"/>
    <w:tmpl w:val="CCD8F730"/>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1">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D17C39"/>
    <w:multiLevelType w:val="hybridMultilevel"/>
    <w:tmpl w:val="D47652E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5F3CE7"/>
    <w:multiLevelType w:val="hybridMultilevel"/>
    <w:tmpl w:val="44B64F9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nsid w:val="5CA86AE0"/>
    <w:multiLevelType w:val="hybridMultilevel"/>
    <w:tmpl w:val="CE38C8C2"/>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6">
    <w:nsid w:val="5CAA2405"/>
    <w:multiLevelType w:val="hybridMultilevel"/>
    <w:tmpl w:val="0752524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E73E87"/>
    <w:multiLevelType w:val="hybridMultilevel"/>
    <w:tmpl w:val="E92A81BC"/>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8">
    <w:nsid w:val="63E05BFA"/>
    <w:multiLevelType w:val="hybridMultilevel"/>
    <w:tmpl w:val="919463EC"/>
    <w:lvl w:ilvl="0" w:tplc="146014B0">
      <w:start w:val="1"/>
      <w:numFmt w:val="bullet"/>
      <w:lvlText w:val=""/>
      <w:lvlJc w:val="left"/>
      <w:pPr>
        <w:ind w:left="740" w:hanging="360"/>
      </w:pPr>
      <w:rPr>
        <w:rFonts w:ascii="Wingdings 3" w:hAnsi="Wingdings 3" w:hint="default"/>
        <w:color w:val="FFC000"/>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9">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nsid w:val="729F17EE"/>
    <w:multiLevelType w:val="hybridMultilevel"/>
    <w:tmpl w:val="76F0762C"/>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42">
    <w:nsid w:val="77CB022F"/>
    <w:multiLevelType w:val="hybridMultilevel"/>
    <w:tmpl w:val="E5AED59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43">
    <w:nsid w:val="7DBD0413"/>
    <w:multiLevelType w:val="hybridMultilevel"/>
    <w:tmpl w:val="16004684"/>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num w:numId="1">
    <w:abstractNumId w:val="34"/>
  </w:num>
  <w:num w:numId="2">
    <w:abstractNumId w:val="15"/>
  </w:num>
  <w:num w:numId="3">
    <w:abstractNumId w:val="40"/>
  </w:num>
  <w:num w:numId="4">
    <w:abstractNumId w:val="10"/>
  </w:num>
  <w:num w:numId="5">
    <w:abstractNumId w:val="6"/>
  </w:num>
  <w:num w:numId="6">
    <w:abstractNumId w:val="0"/>
  </w:num>
  <w:num w:numId="7">
    <w:abstractNumId w:val="23"/>
  </w:num>
  <w:num w:numId="8">
    <w:abstractNumId w:val="21"/>
  </w:num>
  <w:num w:numId="9">
    <w:abstractNumId w:val="39"/>
  </w:num>
  <w:num w:numId="10">
    <w:abstractNumId w:val="31"/>
  </w:num>
  <w:num w:numId="11">
    <w:abstractNumId w:val="27"/>
  </w:num>
  <w:num w:numId="12">
    <w:abstractNumId w:val="28"/>
  </w:num>
  <w:num w:numId="13">
    <w:abstractNumId w:val="13"/>
  </w:num>
  <w:num w:numId="14">
    <w:abstractNumId w:val="12"/>
  </w:num>
  <w:num w:numId="15">
    <w:abstractNumId w:val="14"/>
  </w:num>
  <w:num w:numId="16">
    <w:abstractNumId w:val="4"/>
  </w:num>
  <w:num w:numId="17">
    <w:abstractNumId w:val="9"/>
  </w:num>
  <w:num w:numId="18">
    <w:abstractNumId w:val="42"/>
  </w:num>
  <w:num w:numId="19">
    <w:abstractNumId w:val="30"/>
  </w:num>
  <w:num w:numId="20">
    <w:abstractNumId w:val="2"/>
  </w:num>
  <w:num w:numId="21">
    <w:abstractNumId w:val="37"/>
  </w:num>
  <w:num w:numId="22">
    <w:abstractNumId w:val="7"/>
  </w:num>
  <w:num w:numId="23">
    <w:abstractNumId w:val="20"/>
  </w:num>
  <w:num w:numId="24">
    <w:abstractNumId w:val="26"/>
  </w:num>
  <w:num w:numId="25">
    <w:abstractNumId w:val="43"/>
  </w:num>
  <w:num w:numId="26">
    <w:abstractNumId w:val="3"/>
  </w:num>
  <w:num w:numId="27">
    <w:abstractNumId w:val="22"/>
  </w:num>
  <w:num w:numId="28">
    <w:abstractNumId w:val="41"/>
  </w:num>
  <w:num w:numId="29">
    <w:abstractNumId w:val="16"/>
  </w:num>
  <w:num w:numId="30">
    <w:abstractNumId w:val="1"/>
  </w:num>
  <w:num w:numId="31">
    <w:abstractNumId w:val="35"/>
  </w:num>
  <w:num w:numId="32">
    <w:abstractNumId w:val="38"/>
  </w:num>
  <w:num w:numId="33">
    <w:abstractNumId w:val="24"/>
  </w:num>
  <w:num w:numId="34">
    <w:abstractNumId w:val="33"/>
  </w:num>
  <w:num w:numId="35">
    <w:abstractNumId w:val="25"/>
  </w:num>
  <w:num w:numId="36">
    <w:abstractNumId w:val="18"/>
  </w:num>
  <w:num w:numId="37">
    <w:abstractNumId w:val="29"/>
  </w:num>
  <w:num w:numId="38">
    <w:abstractNumId w:val="19"/>
  </w:num>
  <w:num w:numId="39">
    <w:abstractNumId w:val="8"/>
  </w:num>
  <w:num w:numId="40">
    <w:abstractNumId w:val="17"/>
  </w:num>
  <w:num w:numId="41">
    <w:abstractNumId w:val="32"/>
  </w:num>
  <w:num w:numId="42">
    <w:abstractNumId w:val="5"/>
  </w:num>
  <w:num w:numId="43">
    <w:abstractNumId w:val="3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241B2"/>
    <w:rsid w:val="00037FA4"/>
    <w:rsid w:val="00042603"/>
    <w:rsid w:val="00046A51"/>
    <w:rsid w:val="000504AC"/>
    <w:rsid w:val="0005210D"/>
    <w:rsid w:val="00057836"/>
    <w:rsid w:val="00060F74"/>
    <w:rsid w:val="00076143"/>
    <w:rsid w:val="000A046E"/>
    <w:rsid w:val="000C43A9"/>
    <w:rsid w:val="000D2CA5"/>
    <w:rsid w:val="000F079B"/>
    <w:rsid w:val="000F21C8"/>
    <w:rsid w:val="001005BA"/>
    <w:rsid w:val="001115B4"/>
    <w:rsid w:val="00126277"/>
    <w:rsid w:val="00131225"/>
    <w:rsid w:val="00134D20"/>
    <w:rsid w:val="00157B25"/>
    <w:rsid w:val="00160079"/>
    <w:rsid w:val="00170087"/>
    <w:rsid w:val="001821B4"/>
    <w:rsid w:val="001858BE"/>
    <w:rsid w:val="001972AC"/>
    <w:rsid w:val="001A3B84"/>
    <w:rsid w:val="001B088E"/>
    <w:rsid w:val="001B6D11"/>
    <w:rsid w:val="00201563"/>
    <w:rsid w:val="00201824"/>
    <w:rsid w:val="00230DB2"/>
    <w:rsid w:val="0023134A"/>
    <w:rsid w:val="00236734"/>
    <w:rsid w:val="002616A7"/>
    <w:rsid w:val="00297157"/>
    <w:rsid w:val="002A63C3"/>
    <w:rsid w:val="002C3357"/>
    <w:rsid w:val="002D26D6"/>
    <w:rsid w:val="002D3618"/>
    <w:rsid w:val="002E5906"/>
    <w:rsid w:val="002E7BDF"/>
    <w:rsid w:val="00321234"/>
    <w:rsid w:val="00330E58"/>
    <w:rsid w:val="003618E8"/>
    <w:rsid w:val="00362407"/>
    <w:rsid w:val="00374AA3"/>
    <w:rsid w:val="003B3CE1"/>
    <w:rsid w:val="003B664B"/>
    <w:rsid w:val="003B7D5F"/>
    <w:rsid w:val="003D4CD8"/>
    <w:rsid w:val="003D6F7A"/>
    <w:rsid w:val="003F77F1"/>
    <w:rsid w:val="004072E3"/>
    <w:rsid w:val="00414BA1"/>
    <w:rsid w:val="004371A5"/>
    <w:rsid w:val="00437A26"/>
    <w:rsid w:val="00455D07"/>
    <w:rsid w:val="00460CE5"/>
    <w:rsid w:val="00486ECB"/>
    <w:rsid w:val="0049752A"/>
    <w:rsid w:val="004A7389"/>
    <w:rsid w:val="004C511A"/>
    <w:rsid w:val="004D1A76"/>
    <w:rsid w:val="004D29AE"/>
    <w:rsid w:val="005070C6"/>
    <w:rsid w:val="005104B9"/>
    <w:rsid w:val="005167C9"/>
    <w:rsid w:val="00563534"/>
    <w:rsid w:val="0057480C"/>
    <w:rsid w:val="00581991"/>
    <w:rsid w:val="005A01EC"/>
    <w:rsid w:val="005C65C7"/>
    <w:rsid w:val="005D1224"/>
    <w:rsid w:val="005D1BB2"/>
    <w:rsid w:val="005E628B"/>
    <w:rsid w:val="005F2822"/>
    <w:rsid w:val="00620E85"/>
    <w:rsid w:val="0064620D"/>
    <w:rsid w:val="00695171"/>
    <w:rsid w:val="006A4BCC"/>
    <w:rsid w:val="006C699B"/>
    <w:rsid w:val="006C7854"/>
    <w:rsid w:val="006C7970"/>
    <w:rsid w:val="006D3494"/>
    <w:rsid w:val="006E05C7"/>
    <w:rsid w:val="00701288"/>
    <w:rsid w:val="00707A74"/>
    <w:rsid w:val="00746BEA"/>
    <w:rsid w:val="00773142"/>
    <w:rsid w:val="00780260"/>
    <w:rsid w:val="007A6806"/>
    <w:rsid w:val="007B7495"/>
    <w:rsid w:val="007C04D0"/>
    <w:rsid w:val="008233FB"/>
    <w:rsid w:val="008252D4"/>
    <w:rsid w:val="008350C0"/>
    <w:rsid w:val="00854121"/>
    <w:rsid w:val="00854898"/>
    <w:rsid w:val="00860BF5"/>
    <w:rsid w:val="00862843"/>
    <w:rsid w:val="0087640C"/>
    <w:rsid w:val="00876A67"/>
    <w:rsid w:val="00892008"/>
    <w:rsid w:val="00894898"/>
    <w:rsid w:val="008B312A"/>
    <w:rsid w:val="008B7E5B"/>
    <w:rsid w:val="008C274B"/>
    <w:rsid w:val="008C4C3D"/>
    <w:rsid w:val="008C6918"/>
    <w:rsid w:val="008D1CAB"/>
    <w:rsid w:val="008D759E"/>
    <w:rsid w:val="008E20F2"/>
    <w:rsid w:val="008E46F1"/>
    <w:rsid w:val="008F1A39"/>
    <w:rsid w:val="008F27F9"/>
    <w:rsid w:val="008F4AD9"/>
    <w:rsid w:val="009208F8"/>
    <w:rsid w:val="00921CF4"/>
    <w:rsid w:val="00923077"/>
    <w:rsid w:val="00925473"/>
    <w:rsid w:val="00960CEE"/>
    <w:rsid w:val="009940BE"/>
    <w:rsid w:val="009A204F"/>
    <w:rsid w:val="009A2571"/>
    <w:rsid w:val="009A6243"/>
    <w:rsid w:val="00A02414"/>
    <w:rsid w:val="00A21359"/>
    <w:rsid w:val="00A26E07"/>
    <w:rsid w:val="00A311DD"/>
    <w:rsid w:val="00A31973"/>
    <w:rsid w:val="00A4365C"/>
    <w:rsid w:val="00A54295"/>
    <w:rsid w:val="00A820DB"/>
    <w:rsid w:val="00AA1824"/>
    <w:rsid w:val="00AA19E4"/>
    <w:rsid w:val="00AC3A2C"/>
    <w:rsid w:val="00AE3D62"/>
    <w:rsid w:val="00B170D3"/>
    <w:rsid w:val="00B251B4"/>
    <w:rsid w:val="00B71BF3"/>
    <w:rsid w:val="00B76A8B"/>
    <w:rsid w:val="00B77D0F"/>
    <w:rsid w:val="00B82F81"/>
    <w:rsid w:val="00B94DC6"/>
    <w:rsid w:val="00BA362B"/>
    <w:rsid w:val="00BA52E2"/>
    <w:rsid w:val="00BC48C0"/>
    <w:rsid w:val="00BC4D19"/>
    <w:rsid w:val="00BD02D7"/>
    <w:rsid w:val="00BE1256"/>
    <w:rsid w:val="00BE7363"/>
    <w:rsid w:val="00C0192C"/>
    <w:rsid w:val="00C053AF"/>
    <w:rsid w:val="00C10518"/>
    <w:rsid w:val="00C1055A"/>
    <w:rsid w:val="00C1492E"/>
    <w:rsid w:val="00C255A0"/>
    <w:rsid w:val="00C30B3E"/>
    <w:rsid w:val="00C4722E"/>
    <w:rsid w:val="00C771FF"/>
    <w:rsid w:val="00C809C4"/>
    <w:rsid w:val="00CA3CC4"/>
    <w:rsid w:val="00CD5DBD"/>
    <w:rsid w:val="00CD6BEA"/>
    <w:rsid w:val="00CE3C1A"/>
    <w:rsid w:val="00CE4E2D"/>
    <w:rsid w:val="00CE6F37"/>
    <w:rsid w:val="00D3150D"/>
    <w:rsid w:val="00D60850"/>
    <w:rsid w:val="00D64836"/>
    <w:rsid w:val="00D71EDD"/>
    <w:rsid w:val="00DA4B4C"/>
    <w:rsid w:val="00DB6EEE"/>
    <w:rsid w:val="00DC1D80"/>
    <w:rsid w:val="00E02972"/>
    <w:rsid w:val="00E079E9"/>
    <w:rsid w:val="00E2107C"/>
    <w:rsid w:val="00E3368B"/>
    <w:rsid w:val="00E45EC3"/>
    <w:rsid w:val="00E460E7"/>
    <w:rsid w:val="00E6419E"/>
    <w:rsid w:val="00E733A7"/>
    <w:rsid w:val="00E86C95"/>
    <w:rsid w:val="00E9491B"/>
    <w:rsid w:val="00EE02B5"/>
    <w:rsid w:val="00EE1A64"/>
    <w:rsid w:val="00EF0F27"/>
    <w:rsid w:val="00EF7B48"/>
    <w:rsid w:val="00F4151F"/>
    <w:rsid w:val="00F41BA5"/>
    <w:rsid w:val="00F41E95"/>
    <w:rsid w:val="00F51876"/>
    <w:rsid w:val="00F60382"/>
    <w:rsid w:val="00F860C5"/>
    <w:rsid w:val="00F863C8"/>
    <w:rsid w:val="00F92FDC"/>
    <w:rsid w:val="00FA2FE6"/>
    <w:rsid w:val="00FB7B4A"/>
    <w:rsid w:val="00FC21CE"/>
    <w:rsid w:val="00FD443F"/>
    <w:rsid w:val="00FD67F4"/>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AE53DF-56C3-4C83-AA7A-FEFAE9069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table" w:customStyle="1" w:styleId="Tabelgril1">
    <w:name w:val="Tabel grilă1"/>
    <w:basedOn w:val="TabelNormal"/>
    <w:next w:val="Tabelgril"/>
    <w:uiPriority w:val="59"/>
    <w:rsid w:val="008B31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notdesubsol">
    <w:name w:val="footnote reference"/>
    <w:basedOn w:val="Fontdeparagrafimplicit"/>
    <w:uiPriority w:val="99"/>
    <w:semiHidden/>
    <w:unhideWhenUsed/>
    <w:rsid w:val="00B77D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vet.ro/Anexe/x/Glossary%20Eng-Rom.pdf" TargetMode="External"/><Relationship Id="rId2" Type="http://schemas.openxmlformats.org/officeDocument/2006/relationships/hyperlink" Target="http://www.tvet.ro/Anexe/x/Glossary%20Eng-Rom.pdf" TargetMode="External"/><Relationship Id="rId1" Type="http://schemas.openxmlformats.org/officeDocument/2006/relationships/hyperlink" Target="http://www.tvet.ro/Anexe/x/Glossary%20Eng-Rom.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C0D1C-AE0C-4916-88B5-2F3921B60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1156</Words>
  <Characters>6591</Characters>
  <Application>Microsoft Office Word</Application>
  <DocSecurity>0</DocSecurity>
  <Lines>54</Lines>
  <Paragraphs>15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Alina Banoiu</cp:lastModifiedBy>
  <cp:revision>2</cp:revision>
  <dcterms:created xsi:type="dcterms:W3CDTF">2016-09-01T08:33:00Z</dcterms:created>
  <dcterms:modified xsi:type="dcterms:W3CDTF">2016-09-01T08:33:00Z</dcterms:modified>
</cp:coreProperties>
</file>